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4389" w14:textId="068C5864" w:rsidR="00100EDA" w:rsidRPr="00661E19" w:rsidRDefault="00100EDA" w:rsidP="00100EDA">
      <w:pPr>
        <w:jc w:val="right"/>
        <w:rPr>
          <w:b/>
          <w:bCs/>
        </w:rPr>
      </w:pPr>
      <w:r>
        <w:rPr>
          <w:b/>
          <w:bCs/>
        </w:rPr>
        <w:t>10</w:t>
      </w:r>
      <w:r w:rsidRPr="00661E19">
        <w:rPr>
          <w:b/>
          <w:bCs/>
        </w:rPr>
        <w:t>.pielikums</w:t>
      </w:r>
    </w:p>
    <w:p w14:paraId="462F74E2" w14:textId="0FFA3788" w:rsidR="00CF0674" w:rsidRDefault="00A95012" w:rsidP="00A95012">
      <w:pPr>
        <w:spacing w:after="0" w:line="240" w:lineRule="auto"/>
        <w:jc w:val="right"/>
        <w:rPr>
          <w:rFonts w:eastAsia="Calibri"/>
          <w:b/>
          <w:bCs/>
          <w:color w:val="000000"/>
          <w:sz w:val="20"/>
          <w:szCs w:val="20"/>
        </w:rPr>
      </w:pPr>
      <w:r>
        <w:rPr>
          <w:rFonts w:eastAsia="Calibri"/>
          <w:b/>
          <w:bCs/>
          <w:sz w:val="20"/>
          <w:szCs w:val="20"/>
        </w:rPr>
        <w:t xml:space="preserve">Eiropas Savienības kohēzijas politikas programmas 2021.-2027.gadam </w:t>
      </w:r>
      <w:r w:rsidR="00CF0674" w:rsidRPr="00C569E4">
        <w:rPr>
          <w:rFonts w:eastAsia="Calibri"/>
          <w:b/>
          <w:bCs/>
          <w:color w:val="000000"/>
          <w:sz w:val="20"/>
          <w:szCs w:val="20"/>
        </w:rPr>
        <w:t>2. papildinājums</w:t>
      </w:r>
    </w:p>
    <w:p w14:paraId="1B85E65E" w14:textId="1EE44CED" w:rsidR="00A95012" w:rsidRDefault="00A95012" w:rsidP="00A95012">
      <w:pPr>
        <w:spacing w:after="0" w:line="240" w:lineRule="auto"/>
        <w:jc w:val="right"/>
        <w:rPr>
          <w:rFonts w:eastAsia="Calibri"/>
          <w:b/>
          <w:bCs/>
          <w:color w:val="000000"/>
          <w:sz w:val="20"/>
          <w:szCs w:val="20"/>
        </w:rPr>
      </w:pPr>
    </w:p>
    <w:p w14:paraId="3767D945" w14:textId="5F2AD441" w:rsidR="00A95012" w:rsidRPr="00C569E4" w:rsidRDefault="00A95012" w:rsidP="00A95012">
      <w:pPr>
        <w:spacing w:after="0" w:line="240" w:lineRule="auto"/>
        <w:jc w:val="center"/>
        <w:rPr>
          <w:rFonts w:eastAsia="Calibri"/>
          <w:b/>
          <w:bCs/>
          <w:color w:val="000000"/>
          <w:sz w:val="20"/>
          <w:szCs w:val="20"/>
        </w:rPr>
      </w:pPr>
      <w:r w:rsidRPr="00A95012">
        <w:rPr>
          <w:rFonts w:eastAsia="Calibri"/>
          <w:b/>
          <w:bCs/>
          <w:color w:val="000000"/>
          <w:sz w:val="20"/>
          <w:szCs w:val="20"/>
        </w:rPr>
        <w:t xml:space="preserve">Kapacitātes </w:t>
      </w:r>
      <w:r>
        <w:rPr>
          <w:rFonts w:eastAsia="Calibri"/>
          <w:b/>
          <w:bCs/>
          <w:color w:val="000000"/>
          <w:sz w:val="20"/>
          <w:szCs w:val="20"/>
        </w:rPr>
        <w:t>stiprināšanas</w:t>
      </w:r>
      <w:r w:rsidRPr="00A95012">
        <w:rPr>
          <w:rFonts w:eastAsia="Calibri"/>
          <w:b/>
          <w:bCs/>
          <w:color w:val="000000"/>
          <w:sz w:val="20"/>
          <w:szCs w:val="20"/>
        </w:rPr>
        <w:t xml:space="preserve"> pasākumi</w:t>
      </w:r>
      <w:r>
        <w:rPr>
          <w:rFonts w:eastAsia="Calibri"/>
          <w:b/>
          <w:bCs/>
          <w:color w:val="000000"/>
          <w:sz w:val="20"/>
          <w:szCs w:val="20"/>
        </w:rPr>
        <w:t xml:space="preserve"> </w:t>
      </w:r>
      <w:r w:rsidR="003B7DC3">
        <w:rPr>
          <w:rFonts w:eastAsia="Calibri"/>
          <w:b/>
          <w:bCs/>
          <w:color w:val="000000"/>
          <w:sz w:val="20"/>
          <w:szCs w:val="20"/>
        </w:rPr>
        <w:t xml:space="preserve">- Administratīvās kapacitātes </w:t>
      </w:r>
      <w:proofErr w:type="spellStart"/>
      <w:r w:rsidR="003B7DC3">
        <w:rPr>
          <w:rFonts w:eastAsia="Calibri"/>
          <w:b/>
          <w:bCs/>
          <w:color w:val="000000"/>
          <w:sz w:val="20"/>
          <w:szCs w:val="20"/>
        </w:rPr>
        <w:t>ceļakarte</w:t>
      </w:r>
      <w:proofErr w:type="spellEnd"/>
    </w:p>
    <w:p w14:paraId="50519DC5" w14:textId="77777777" w:rsidR="003B7DC3" w:rsidRDefault="003B7DC3" w:rsidP="00CF0674">
      <w:pPr>
        <w:shd w:val="clear" w:color="auto" w:fill="FFFFFF"/>
        <w:spacing w:after="0" w:line="240" w:lineRule="auto"/>
        <w:jc w:val="both"/>
        <w:rPr>
          <w:rFonts w:eastAsia="Times New Roman"/>
          <w:b/>
          <w:bCs/>
          <w:color w:val="000000"/>
          <w:sz w:val="20"/>
          <w:szCs w:val="20"/>
          <w:lang w:eastAsia="en-GB" w:bidi="ne-NP"/>
        </w:rPr>
      </w:pPr>
    </w:p>
    <w:p w14:paraId="36701CC6" w14:textId="77777777" w:rsidR="003B7DC3" w:rsidRDefault="003B7DC3" w:rsidP="00CF0674">
      <w:pPr>
        <w:shd w:val="clear" w:color="auto" w:fill="FFFFFF"/>
        <w:spacing w:after="0" w:line="240" w:lineRule="auto"/>
        <w:jc w:val="both"/>
        <w:rPr>
          <w:rFonts w:eastAsia="Times New Roman"/>
          <w:b/>
          <w:bCs/>
          <w:color w:val="000000"/>
          <w:sz w:val="20"/>
          <w:szCs w:val="20"/>
          <w:lang w:eastAsia="en-GB" w:bidi="ne-NP"/>
        </w:rPr>
      </w:pPr>
    </w:p>
    <w:p w14:paraId="25A3E42F" w14:textId="661E60B0" w:rsidR="00CF0674" w:rsidRPr="00C569E4" w:rsidRDefault="00CF0674" w:rsidP="00CF0674">
      <w:pPr>
        <w:shd w:val="clear" w:color="auto" w:fill="FFFFFF"/>
        <w:spacing w:after="0" w:line="240" w:lineRule="auto"/>
        <w:jc w:val="both"/>
        <w:rPr>
          <w:rFonts w:eastAsia="Times New Roman"/>
          <w:b/>
          <w:bCs/>
          <w:color w:val="000000"/>
          <w:sz w:val="20"/>
          <w:szCs w:val="20"/>
          <w:lang w:eastAsia="en-GB" w:bidi="ne-NP"/>
        </w:rPr>
      </w:pPr>
      <w:r w:rsidRPr="00C569E4">
        <w:rPr>
          <w:rFonts w:eastAsia="Times New Roman"/>
          <w:b/>
          <w:bCs/>
          <w:color w:val="000000"/>
          <w:sz w:val="20"/>
          <w:szCs w:val="20"/>
          <w:lang w:eastAsia="en-GB" w:bidi="ne-NP"/>
        </w:rPr>
        <w:t>Savienības ieguldījums, pamatojoties uz finansējumu, kas nav saistīts ar izmaksām (95.pants)</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3742"/>
        <w:gridCol w:w="1640"/>
      </w:tblGrid>
      <w:tr w:rsidR="00CF0674" w:rsidRPr="00C569E4" w14:paraId="3055600B" w14:textId="77777777" w:rsidTr="003B7DC3">
        <w:tc>
          <w:tcPr>
            <w:tcW w:w="4467" w:type="pct"/>
            <w:tcBorders>
              <w:top w:val="single" w:sz="6" w:space="0" w:color="000000"/>
              <w:left w:val="single" w:sz="6" w:space="0" w:color="000000"/>
              <w:bottom w:val="single" w:sz="6" w:space="0" w:color="000000"/>
              <w:right w:val="single" w:sz="6" w:space="0" w:color="000000"/>
            </w:tcBorders>
            <w:shd w:val="clear" w:color="auto" w:fill="FFFFFF"/>
            <w:hideMark/>
          </w:tcPr>
          <w:p w14:paraId="0CEDAA13" w14:textId="77777777" w:rsidR="00CF0674" w:rsidRPr="00C569E4" w:rsidRDefault="00CF0674" w:rsidP="00CF0674">
            <w:pPr>
              <w:spacing w:after="0" w:line="240" w:lineRule="auto"/>
              <w:rPr>
                <w:rFonts w:eastAsia="Times New Roman"/>
                <w:color w:val="000000"/>
                <w:sz w:val="20"/>
                <w:szCs w:val="20"/>
                <w:lang w:eastAsia="en-GB" w:bidi="ne-NP"/>
              </w:rPr>
            </w:pPr>
            <w:r w:rsidRPr="00C569E4">
              <w:rPr>
                <w:rFonts w:eastAsia="Times New Roman"/>
                <w:color w:val="000000"/>
                <w:sz w:val="20"/>
                <w:szCs w:val="20"/>
                <w:lang w:eastAsia="en-GB" w:bidi="ne-NP"/>
              </w:rPr>
              <w:t>Priekšlikuma iesniegšanas datums</w:t>
            </w:r>
          </w:p>
        </w:tc>
        <w:tc>
          <w:tcPr>
            <w:tcW w:w="533" w:type="pct"/>
            <w:tcBorders>
              <w:top w:val="single" w:sz="6" w:space="0" w:color="000000"/>
              <w:left w:val="single" w:sz="6" w:space="0" w:color="000000"/>
              <w:bottom w:val="single" w:sz="6" w:space="0" w:color="000000"/>
              <w:right w:val="single" w:sz="6" w:space="0" w:color="000000"/>
            </w:tcBorders>
            <w:shd w:val="clear" w:color="auto" w:fill="FFFFFF"/>
            <w:hideMark/>
          </w:tcPr>
          <w:p w14:paraId="14A2459D" w14:textId="77777777" w:rsidR="00CF0674" w:rsidRPr="00C569E4" w:rsidRDefault="00CF0674" w:rsidP="00CF0674">
            <w:pPr>
              <w:spacing w:after="0" w:line="240" w:lineRule="auto"/>
              <w:jc w:val="both"/>
              <w:rPr>
                <w:rFonts w:eastAsia="Times New Roman"/>
                <w:color w:val="000000"/>
                <w:sz w:val="20"/>
                <w:szCs w:val="20"/>
                <w:lang w:eastAsia="en-GB" w:bidi="ne-NP"/>
              </w:rPr>
            </w:pPr>
            <w:r w:rsidRPr="00C569E4">
              <w:rPr>
                <w:rFonts w:eastAsia="Times New Roman"/>
                <w:color w:val="000000"/>
                <w:sz w:val="20"/>
                <w:szCs w:val="20"/>
                <w:lang w:eastAsia="en-GB" w:bidi="ne-NP"/>
              </w:rPr>
              <w:t> </w:t>
            </w:r>
          </w:p>
        </w:tc>
      </w:tr>
    </w:tbl>
    <w:p w14:paraId="0E94ADE4" w14:textId="77777777" w:rsidR="00EF5119" w:rsidRDefault="00EF5119" w:rsidP="00CF0674">
      <w:pPr>
        <w:shd w:val="clear" w:color="auto" w:fill="FFFFFF"/>
        <w:spacing w:after="0" w:line="240" w:lineRule="auto"/>
        <w:jc w:val="both"/>
        <w:rPr>
          <w:rFonts w:eastAsia="Times New Roman"/>
          <w:color w:val="000000"/>
          <w:sz w:val="20"/>
          <w:szCs w:val="20"/>
          <w:lang w:eastAsia="en-GB" w:bidi="ne-NP"/>
        </w:rPr>
      </w:pPr>
    </w:p>
    <w:p w14:paraId="5344ADA5" w14:textId="77777777" w:rsidR="00CF0674" w:rsidRPr="00C569E4" w:rsidRDefault="00CF0674" w:rsidP="00CF0674">
      <w:pPr>
        <w:shd w:val="clear" w:color="auto" w:fill="FFFFFF"/>
        <w:spacing w:after="0" w:line="240" w:lineRule="auto"/>
        <w:jc w:val="both"/>
        <w:rPr>
          <w:rFonts w:eastAsia="Times New Roman"/>
          <w:b/>
          <w:bCs/>
          <w:color w:val="000000"/>
          <w:sz w:val="20"/>
          <w:szCs w:val="20"/>
          <w:lang w:eastAsia="en-GB" w:bidi="ne-NP"/>
        </w:rPr>
      </w:pPr>
      <w:r w:rsidRPr="00C569E4">
        <w:rPr>
          <w:rFonts w:eastAsia="Times New Roman"/>
          <w:b/>
          <w:bCs/>
          <w:color w:val="000000"/>
          <w:sz w:val="20"/>
          <w:szCs w:val="20"/>
          <w:lang w:eastAsia="en-GB" w:bidi="ne-NP"/>
        </w:rPr>
        <w:t>A.   Galveno elementu kopsavilkums</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132"/>
        <w:gridCol w:w="538"/>
        <w:gridCol w:w="1000"/>
        <w:gridCol w:w="963"/>
        <w:gridCol w:w="1519"/>
        <w:gridCol w:w="438"/>
        <w:gridCol w:w="1184"/>
        <w:gridCol w:w="2697"/>
        <w:gridCol w:w="510"/>
        <w:gridCol w:w="1307"/>
        <w:gridCol w:w="2316"/>
        <w:gridCol w:w="1778"/>
      </w:tblGrid>
      <w:tr w:rsidR="00C129D5" w:rsidRPr="00C569E4" w14:paraId="1BCEC283" w14:textId="77777777" w:rsidTr="00994D57">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CC6825D" w14:textId="77777777" w:rsidR="00CF0674" w:rsidRPr="00C569E4" w:rsidRDefault="00CF0674" w:rsidP="00CF0674">
            <w:pPr>
              <w:spacing w:after="0" w:line="240" w:lineRule="auto"/>
              <w:ind w:right="76"/>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Prioritāte</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3683E115" w14:textId="77777777" w:rsidR="00CF0674" w:rsidRPr="00C569E4" w:rsidRDefault="00CF0674" w:rsidP="00CF0674">
            <w:pPr>
              <w:spacing w:after="0" w:line="240" w:lineRule="auto"/>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Fonds</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C5EBE6A" w14:textId="77777777" w:rsidR="00CF0674" w:rsidRPr="00C569E4" w:rsidRDefault="00CF0674" w:rsidP="00CF0674">
            <w:pPr>
              <w:spacing w:after="0" w:line="240" w:lineRule="auto"/>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Konkrētais mērķis</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9BBD5E7" w14:textId="77777777" w:rsidR="00CF0674" w:rsidRPr="00C569E4" w:rsidRDefault="00CF0674" w:rsidP="00CF0674">
            <w:pPr>
              <w:spacing w:after="0" w:line="240" w:lineRule="auto"/>
              <w:ind w:right="35"/>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Reģiona kategorija</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609E041" w14:textId="77777777" w:rsidR="00CF0674" w:rsidRPr="00C569E4" w:rsidRDefault="00CF0674" w:rsidP="00CF0674">
            <w:pPr>
              <w:tabs>
                <w:tab w:val="left" w:pos="811"/>
              </w:tabs>
              <w:spacing w:after="0" w:line="240" w:lineRule="auto"/>
              <w:ind w:right="195"/>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Summa, kuru sedz no finansējuma, kas nav saistīts ar izmaksām</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13ECCF38" w14:textId="77777777" w:rsidR="00CF0674" w:rsidRPr="00C569E4" w:rsidRDefault="00CF0674" w:rsidP="00CF0674">
            <w:pPr>
              <w:spacing w:after="0" w:line="240" w:lineRule="auto"/>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Segtās darbības veids(-i)</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ED65442" w14:textId="77777777" w:rsidR="00CF0674" w:rsidRPr="00C569E4" w:rsidRDefault="00CF0674" w:rsidP="00CF0674">
            <w:pPr>
              <w:spacing w:after="0" w:line="240" w:lineRule="auto"/>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Izpildāmie nosacījumi / sasniedzamie rezultāti, pēc kuru sasniegšanas Komisija veic atlīdzināšanu</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7F6B5BAA" w14:textId="77777777" w:rsidR="00CF0674" w:rsidRPr="00C569E4" w:rsidRDefault="00CF0674" w:rsidP="00CF0674">
            <w:pPr>
              <w:spacing w:after="0" w:line="240" w:lineRule="auto"/>
              <w:ind w:right="13"/>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Rādītājs</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4A873FB" w14:textId="77777777" w:rsidR="00CF0674" w:rsidRPr="00C569E4" w:rsidRDefault="00CF0674" w:rsidP="00CF0674">
            <w:pPr>
              <w:spacing w:after="0" w:line="240" w:lineRule="auto"/>
              <w:ind w:right="-42"/>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Izpildāmo nosacījumu / sasniedzamo rezultātu, pēc kuru sasniegšanas Komisija veic atlīdzināšanu, mērvienība</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D763B53" w14:textId="77777777" w:rsidR="00CF0674" w:rsidRPr="00C569E4" w:rsidRDefault="00CF0674" w:rsidP="00CF0674">
            <w:pPr>
              <w:spacing w:after="0" w:line="240" w:lineRule="auto"/>
              <w:ind w:right="195"/>
              <w:jc w:val="center"/>
              <w:rPr>
                <w:rFonts w:eastAsia="Times New Roman"/>
                <w:b/>
                <w:bCs/>
                <w:color w:val="000000"/>
                <w:sz w:val="20"/>
                <w:szCs w:val="20"/>
                <w:lang w:eastAsia="en-GB" w:bidi="ne-NP"/>
              </w:rPr>
            </w:pPr>
            <w:r w:rsidRPr="00C569E4">
              <w:rPr>
                <w:rFonts w:eastAsia="Times New Roman"/>
                <w:b/>
                <w:bCs/>
                <w:color w:val="000000"/>
                <w:sz w:val="20"/>
                <w:szCs w:val="20"/>
                <w:lang w:eastAsia="en-GB" w:bidi="ne-NP"/>
              </w:rPr>
              <w:t>Paredzētās izdevumu atlīdzināšanas metodes veids, lai atlīdzinātu izdevumus saņēmējam vai saņēmējiem</w:t>
            </w:r>
          </w:p>
        </w:tc>
      </w:tr>
      <w:tr w:rsidR="00C129D5" w:rsidRPr="00C569E4" w14:paraId="0D8037C4" w14:textId="77777777" w:rsidTr="00994D57">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608C985" w14:textId="04887E49" w:rsidR="00CF0674" w:rsidRPr="00C569E4" w:rsidRDefault="00CF0674" w:rsidP="00CF0674">
            <w:pPr>
              <w:spacing w:after="0" w:line="240" w:lineRule="auto"/>
              <w:jc w:val="both"/>
              <w:rPr>
                <w:rFonts w:eastAsia="Times New Roman"/>
                <w:color w:val="000000"/>
                <w:sz w:val="20"/>
                <w:szCs w:val="20"/>
                <w:lang w:eastAsia="en-GB" w:bidi="ne-NP"/>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A27DA6A" w14:textId="6E671B20" w:rsidR="00CF0674" w:rsidRPr="00C569E4" w:rsidRDefault="00CF0674" w:rsidP="00CF0674">
            <w:pPr>
              <w:spacing w:after="0" w:line="240" w:lineRule="auto"/>
              <w:jc w:val="both"/>
              <w:rPr>
                <w:rFonts w:eastAsia="Times New Roman"/>
                <w:color w:val="000000"/>
                <w:sz w:val="20"/>
                <w:szCs w:val="20"/>
                <w:lang w:eastAsia="en-GB" w:bidi="ne-NP"/>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5F3124F" w14:textId="33375FE8" w:rsidR="00CF0674" w:rsidRPr="00C569E4" w:rsidRDefault="00CF0674" w:rsidP="00CF0674">
            <w:pPr>
              <w:spacing w:after="0" w:line="240" w:lineRule="auto"/>
              <w:jc w:val="both"/>
              <w:rPr>
                <w:rFonts w:eastAsia="Times New Roman"/>
                <w:color w:val="000000"/>
                <w:sz w:val="20"/>
                <w:szCs w:val="20"/>
                <w:lang w:eastAsia="en-GB" w:bidi="ne-NP"/>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9126001" w14:textId="2A204658" w:rsidR="00CF0674" w:rsidRPr="00C569E4" w:rsidRDefault="00CF0674" w:rsidP="00CF0674">
            <w:pPr>
              <w:spacing w:after="0" w:line="240" w:lineRule="auto"/>
              <w:jc w:val="both"/>
              <w:rPr>
                <w:rFonts w:eastAsia="Times New Roman"/>
                <w:color w:val="000000"/>
                <w:sz w:val="20"/>
                <w:szCs w:val="20"/>
                <w:lang w:eastAsia="en-GB" w:bidi="ne-NP"/>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0F9D125" w14:textId="0A3B906C" w:rsidR="00CF0674" w:rsidRPr="00C569E4" w:rsidRDefault="00CF0674" w:rsidP="00CF0674">
            <w:pPr>
              <w:spacing w:after="0" w:line="240" w:lineRule="auto"/>
              <w:jc w:val="both"/>
              <w:rPr>
                <w:rFonts w:eastAsia="Times New Roman"/>
                <w:color w:val="000000"/>
                <w:sz w:val="20"/>
                <w:szCs w:val="20"/>
                <w:lang w:eastAsia="en-GB" w:bidi="ne-NP"/>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AD9368E" w14:textId="28E05414" w:rsidR="00CF0674" w:rsidRPr="00C569E4" w:rsidRDefault="00CF0674" w:rsidP="004160DA">
            <w:pPr>
              <w:spacing w:after="0" w:line="240" w:lineRule="auto"/>
              <w:rPr>
                <w:rFonts w:eastAsia="Times New Roman"/>
                <w:color w:val="000000"/>
                <w:sz w:val="20"/>
                <w:szCs w:val="20"/>
                <w:lang w:eastAsia="en-GB" w:bidi="ne-NP"/>
              </w:rPr>
            </w:pPr>
            <w:r w:rsidRPr="00C569E4">
              <w:rPr>
                <w:rFonts w:eastAsia="Times New Roman"/>
                <w:color w:val="000000"/>
                <w:sz w:val="20"/>
                <w:szCs w:val="20"/>
                <w:lang w:eastAsia="en-GB" w:bidi="ne-NP"/>
              </w:rPr>
              <w:t>Kods</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A0ED5AD" w14:textId="77777777" w:rsidR="00CF0674" w:rsidRPr="00C569E4" w:rsidRDefault="00CF0674" w:rsidP="00CF0674">
            <w:pPr>
              <w:spacing w:after="0" w:line="240" w:lineRule="auto"/>
              <w:rPr>
                <w:rFonts w:eastAsia="Times New Roman"/>
                <w:color w:val="000000"/>
                <w:sz w:val="20"/>
                <w:szCs w:val="20"/>
                <w:lang w:eastAsia="en-GB" w:bidi="ne-NP"/>
              </w:rPr>
            </w:pPr>
            <w:r w:rsidRPr="00C569E4">
              <w:rPr>
                <w:rFonts w:eastAsia="Times New Roman"/>
                <w:color w:val="000000"/>
                <w:sz w:val="20"/>
                <w:szCs w:val="20"/>
                <w:lang w:eastAsia="en-GB" w:bidi="ne-NP"/>
              </w:rPr>
              <w:t>Apraksts</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062843DD" w14:textId="77777777" w:rsidR="00CF0674" w:rsidRPr="00C569E4" w:rsidRDefault="00CF0674" w:rsidP="00CF0674">
            <w:pPr>
              <w:spacing w:after="0" w:line="240" w:lineRule="auto"/>
              <w:jc w:val="both"/>
              <w:rPr>
                <w:rFonts w:eastAsia="Times New Roman"/>
                <w:color w:val="000000"/>
                <w:sz w:val="20"/>
                <w:szCs w:val="20"/>
                <w:lang w:eastAsia="en-GB" w:bidi="ne-NP"/>
              </w:rPr>
            </w:pPr>
            <w:r w:rsidRPr="00C569E4">
              <w:rPr>
                <w:rFonts w:eastAsia="Times New Roman"/>
                <w:color w:val="000000"/>
                <w:sz w:val="20"/>
                <w:szCs w:val="20"/>
                <w:lang w:eastAsia="en-GB" w:bidi="ne-NP"/>
              </w:rPr>
              <w:t> </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1C02BFB" w14:textId="3B4206C4" w:rsidR="00CF0674" w:rsidRPr="00C569E4" w:rsidRDefault="00CF0674" w:rsidP="004160DA">
            <w:pPr>
              <w:spacing w:after="0" w:line="240" w:lineRule="auto"/>
              <w:rPr>
                <w:rFonts w:eastAsia="Times New Roman"/>
                <w:color w:val="000000"/>
                <w:sz w:val="20"/>
                <w:szCs w:val="20"/>
                <w:lang w:eastAsia="en-GB" w:bidi="ne-NP"/>
              </w:rPr>
            </w:pPr>
            <w:r w:rsidRPr="00C569E4">
              <w:rPr>
                <w:rFonts w:eastAsia="Times New Roman"/>
                <w:color w:val="000000"/>
                <w:sz w:val="20"/>
                <w:szCs w:val="20"/>
                <w:lang w:eastAsia="en-GB" w:bidi="ne-NP"/>
              </w:rPr>
              <w:t>Kods</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4642CF3" w14:textId="77777777" w:rsidR="00CF0674" w:rsidRPr="00C569E4" w:rsidRDefault="00CF0674" w:rsidP="00CF0674">
            <w:pPr>
              <w:spacing w:after="0" w:line="240" w:lineRule="auto"/>
              <w:rPr>
                <w:rFonts w:eastAsia="Times New Roman"/>
                <w:color w:val="000000"/>
                <w:sz w:val="20"/>
                <w:szCs w:val="20"/>
                <w:lang w:eastAsia="en-GB" w:bidi="ne-NP"/>
              </w:rPr>
            </w:pPr>
            <w:r w:rsidRPr="00C569E4">
              <w:rPr>
                <w:rFonts w:eastAsia="Times New Roman"/>
                <w:color w:val="000000"/>
                <w:sz w:val="20"/>
                <w:szCs w:val="20"/>
                <w:lang w:eastAsia="en-GB" w:bidi="ne-NP"/>
              </w:rPr>
              <w:t>Apraksts</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221D4E48" w14:textId="77777777" w:rsidR="00CF0674" w:rsidRPr="00C569E4" w:rsidRDefault="00CF0674" w:rsidP="00CF0674">
            <w:pPr>
              <w:spacing w:after="0" w:line="240" w:lineRule="auto"/>
              <w:jc w:val="both"/>
              <w:rPr>
                <w:rFonts w:eastAsia="Times New Roman"/>
                <w:color w:val="000000"/>
                <w:sz w:val="20"/>
                <w:szCs w:val="20"/>
                <w:lang w:eastAsia="en-GB" w:bidi="ne-NP"/>
              </w:rPr>
            </w:pPr>
            <w:r w:rsidRPr="00C569E4">
              <w:rPr>
                <w:rFonts w:eastAsia="Times New Roman"/>
                <w:color w:val="000000"/>
                <w:sz w:val="20"/>
                <w:szCs w:val="20"/>
                <w:lang w:eastAsia="en-GB" w:bidi="ne-NP"/>
              </w:rPr>
              <w:t> </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5950D820" w14:textId="77777777" w:rsidR="00CF0674" w:rsidRPr="00C569E4" w:rsidRDefault="00CF0674" w:rsidP="00CF0674">
            <w:pPr>
              <w:spacing w:after="0" w:line="240" w:lineRule="auto"/>
              <w:jc w:val="both"/>
              <w:rPr>
                <w:rFonts w:eastAsia="Times New Roman"/>
                <w:color w:val="000000"/>
                <w:sz w:val="20"/>
                <w:szCs w:val="20"/>
                <w:lang w:eastAsia="en-GB" w:bidi="ne-NP"/>
              </w:rPr>
            </w:pPr>
            <w:r w:rsidRPr="00C569E4">
              <w:rPr>
                <w:rFonts w:eastAsia="Times New Roman"/>
                <w:color w:val="000000"/>
                <w:sz w:val="20"/>
                <w:szCs w:val="20"/>
                <w:lang w:eastAsia="en-GB" w:bidi="ne-NP"/>
              </w:rPr>
              <w:t> </w:t>
            </w:r>
          </w:p>
        </w:tc>
      </w:tr>
      <w:tr w:rsidR="00A26433" w:rsidRPr="00E10694" w14:paraId="53D8E5B8" w14:textId="77777777" w:rsidTr="00A26433">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39E8D6" w14:textId="77777777" w:rsidR="00994D57" w:rsidRPr="00E10694" w:rsidRDefault="007D4BF3" w:rsidP="007D4BF3">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 xml:space="preserve">Kapacitātes stiprināšanas pasākumi </w:t>
            </w:r>
          </w:p>
          <w:p w14:paraId="0AE82283" w14:textId="216BCB2C" w:rsidR="007D4BF3" w:rsidRPr="00E10694" w:rsidRDefault="007D4BF3" w:rsidP="007D4BF3">
            <w:pPr>
              <w:spacing w:after="0" w:line="240" w:lineRule="auto"/>
              <w:jc w:val="both"/>
              <w:rPr>
                <w:rFonts w:eastAsia="Times New Roman"/>
                <w:sz w:val="20"/>
                <w:szCs w:val="20"/>
                <w:lang w:eastAsia="en-GB" w:bidi="ne-NP"/>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680B9EF" w14:textId="5E285CA0" w:rsidR="007D4BF3" w:rsidRPr="00E10694" w:rsidRDefault="007D4BF3" w:rsidP="007D4BF3">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 ESF+</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69BE19" w14:textId="7416207C" w:rsidR="007D4BF3" w:rsidRPr="00E10694" w:rsidRDefault="007D4BF3" w:rsidP="007D4BF3">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 </w:t>
            </w:r>
            <w:r w:rsidR="00AC0F19" w:rsidRPr="00E10694">
              <w:rPr>
                <w:rFonts w:eastAsia="Times New Roman"/>
                <w:sz w:val="20"/>
                <w:szCs w:val="20"/>
                <w:lang w:eastAsia="en-GB" w:bidi="ne-NP"/>
              </w:rPr>
              <w:t xml:space="preserve">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F1F2F9" w14:textId="3CD79FD7" w:rsidR="007D4BF3" w:rsidRPr="00E10694" w:rsidRDefault="007D4BF3" w:rsidP="007D4BF3">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Mazāk attīstīts</w:t>
            </w:r>
          </w:p>
          <w:p w14:paraId="5AAE885E" w14:textId="12152681" w:rsidR="00EC0B67" w:rsidRPr="00E10694" w:rsidRDefault="00EC0B67" w:rsidP="007D4BF3">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reģions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B25C55" w14:textId="79A23FB0" w:rsidR="001907BC" w:rsidRPr="00E10694" w:rsidRDefault="001907BC" w:rsidP="007D4BF3">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 xml:space="preserve">1 643 848 </w:t>
            </w:r>
            <w:r w:rsidR="00214406" w:rsidRPr="00E10694">
              <w:rPr>
                <w:rFonts w:eastAsia="Times New Roman"/>
                <w:sz w:val="20"/>
                <w:szCs w:val="20"/>
                <w:lang w:eastAsia="en-GB" w:bidi="ne-NP"/>
              </w:rPr>
              <w:t>EUR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98D0F14" w14:textId="3868D595" w:rsidR="007D4BF3" w:rsidRPr="00E10694" w:rsidRDefault="007D4BF3" w:rsidP="009D108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 </w:t>
            </w:r>
            <w:r w:rsidR="009D108E" w:rsidRPr="00E10694">
              <w:rPr>
                <w:rFonts w:eastAsia="Times New Roman"/>
                <w:sz w:val="20"/>
                <w:szCs w:val="20"/>
                <w:lang w:eastAsia="en-GB" w:bidi="ne-NP"/>
              </w:rPr>
              <w:t>1</w:t>
            </w:r>
            <w:r w:rsidR="00AC0F19" w:rsidRPr="00E10694">
              <w:rPr>
                <w:rFonts w:eastAsia="Times New Roman"/>
                <w:sz w:val="20"/>
                <w:szCs w:val="20"/>
                <w:lang w:eastAsia="en-GB" w:bidi="ne-NP"/>
              </w:rPr>
              <w:t>82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88692E" w14:textId="3CFAC021" w:rsidR="007D4BF3" w:rsidRPr="00E10694" w:rsidRDefault="00E93809" w:rsidP="007D4BF3">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Dalībvalstu iestāžu, saņēmēju un attiecīgo partneru spēju stiprināšana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0F0CACF" w14:textId="1C0DE581" w:rsidR="007D4BF3" w:rsidRPr="00F13F98" w:rsidRDefault="00AC0F19" w:rsidP="007D4BF3">
            <w:pPr>
              <w:spacing w:after="0" w:line="240" w:lineRule="auto"/>
              <w:ind w:left="56" w:right="81"/>
              <w:jc w:val="both"/>
              <w:rPr>
                <w:rFonts w:eastAsia="Times New Roman"/>
                <w:sz w:val="20"/>
                <w:szCs w:val="20"/>
                <w:lang w:eastAsia="en-GB" w:bidi="ne-NP"/>
              </w:rPr>
            </w:pPr>
            <w:r w:rsidRPr="00F13F98">
              <w:rPr>
                <w:rFonts w:eastAsia="Times New Roman"/>
                <w:sz w:val="20"/>
                <w:szCs w:val="20"/>
                <w:lang w:eastAsia="en-GB" w:bidi="ne-NP"/>
              </w:rPr>
              <w:t xml:space="preserve">Administratīvās kapacitātes ceļa kartes ietvaros </w:t>
            </w:r>
            <w:r w:rsidR="0073732B" w:rsidRPr="00F13F98">
              <w:rPr>
                <w:rFonts w:eastAsia="Times New Roman"/>
                <w:sz w:val="20"/>
                <w:szCs w:val="20"/>
                <w:lang w:eastAsia="en-GB" w:bidi="ne-NP"/>
              </w:rPr>
              <w:t xml:space="preserve">tiks </w:t>
            </w:r>
            <w:r w:rsidRPr="00F13F98">
              <w:rPr>
                <w:rFonts w:eastAsia="Times New Roman"/>
                <w:sz w:val="20"/>
                <w:szCs w:val="20"/>
                <w:lang w:eastAsia="en-GB" w:bidi="ne-NP"/>
              </w:rPr>
              <w:t>īstenoti 2</w:t>
            </w:r>
            <w:r w:rsidR="00671AE4" w:rsidRPr="00F13F98">
              <w:rPr>
                <w:rFonts w:eastAsia="Times New Roman"/>
                <w:sz w:val="20"/>
                <w:szCs w:val="20"/>
                <w:lang w:eastAsia="en-GB" w:bidi="ne-NP"/>
              </w:rPr>
              <w:t>2</w:t>
            </w:r>
            <w:r w:rsidRPr="00F13F98">
              <w:rPr>
                <w:rFonts w:eastAsia="Times New Roman"/>
                <w:sz w:val="20"/>
                <w:szCs w:val="20"/>
                <w:lang w:eastAsia="en-GB" w:bidi="ne-NP"/>
              </w:rPr>
              <w:t xml:space="preserve"> pasākumi </w:t>
            </w:r>
            <w:r w:rsidR="0073732B" w:rsidRPr="00F13F98">
              <w:rPr>
                <w:rFonts w:eastAsia="Times New Roman"/>
                <w:sz w:val="20"/>
                <w:szCs w:val="20"/>
                <w:lang w:eastAsia="en-GB" w:bidi="ne-NP"/>
              </w:rPr>
              <w:t xml:space="preserve">ES </w:t>
            </w:r>
            <w:r w:rsidRPr="00F13F98">
              <w:rPr>
                <w:rFonts w:eastAsia="Times New Roman"/>
                <w:sz w:val="20"/>
                <w:szCs w:val="20"/>
                <w:lang w:eastAsia="en-GB" w:bidi="ne-NP"/>
              </w:rPr>
              <w:t>fondu īstenošanā un vadībā iesaistīto iestāžu un struktūru spēju uzlabošanai.</w:t>
            </w:r>
            <w:r w:rsidR="00EC0B67" w:rsidRPr="00F13F98">
              <w:rPr>
                <w:rFonts w:eastAsia="Times New Roman"/>
                <w:sz w:val="20"/>
                <w:szCs w:val="20"/>
                <w:lang w:eastAsia="en-GB" w:bidi="ne-NP"/>
              </w:rPr>
              <w:t xml:space="preserve"> </w:t>
            </w:r>
          </w:p>
          <w:p w14:paraId="1337C761" w14:textId="24C01955" w:rsidR="00EC0B67" w:rsidRPr="00E10694" w:rsidRDefault="00A26433" w:rsidP="007D4BF3">
            <w:pPr>
              <w:spacing w:after="0" w:line="240" w:lineRule="auto"/>
              <w:ind w:left="56" w:right="81"/>
              <w:jc w:val="both"/>
              <w:rPr>
                <w:rFonts w:eastAsia="Times New Roman"/>
                <w:sz w:val="20"/>
                <w:szCs w:val="20"/>
                <w:lang w:eastAsia="en-GB" w:bidi="ne-NP"/>
              </w:rPr>
            </w:pPr>
            <w:r w:rsidRPr="00A26433">
              <w:rPr>
                <w:rFonts w:eastAsia="Times New Roman"/>
                <w:sz w:val="20"/>
                <w:szCs w:val="20"/>
                <w:lang w:eastAsia="en-GB" w:bidi="ne-NP"/>
              </w:rPr>
              <w:t>Īstenot</w:t>
            </w:r>
            <w:r>
              <w:rPr>
                <w:rFonts w:eastAsia="Times New Roman"/>
                <w:sz w:val="20"/>
                <w:szCs w:val="20"/>
                <w:lang w:eastAsia="en-GB" w:bidi="ne-NP"/>
              </w:rPr>
              <w:t>i</w:t>
            </w:r>
            <w:r w:rsidRPr="00A26433">
              <w:rPr>
                <w:rFonts w:eastAsia="Times New Roman"/>
                <w:sz w:val="20"/>
                <w:szCs w:val="20"/>
                <w:lang w:eastAsia="en-GB" w:bidi="ne-NP"/>
              </w:rPr>
              <w:t xml:space="preserve"> pasākum</w:t>
            </w:r>
            <w:r>
              <w:rPr>
                <w:rFonts w:eastAsia="Times New Roman"/>
                <w:sz w:val="20"/>
                <w:szCs w:val="20"/>
                <w:lang w:eastAsia="en-GB" w:bidi="ne-NP"/>
              </w:rPr>
              <w:t>i</w:t>
            </w:r>
            <w:r w:rsidRPr="00A26433">
              <w:rPr>
                <w:rFonts w:eastAsia="Times New Roman"/>
                <w:sz w:val="20"/>
                <w:szCs w:val="20"/>
                <w:lang w:eastAsia="en-GB" w:bidi="ne-NP"/>
              </w:rPr>
              <w:t xml:space="preserve"> un sasniegt</w:t>
            </w:r>
            <w:r>
              <w:rPr>
                <w:rFonts w:eastAsia="Times New Roman"/>
                <w:sz w:val="20"/>
                <w:szCs w:val="20"/>
                <w:lang w:eastAsia="en-GB" w:bidi="ne-NP"/>
              </w:rPr>
              <w:t>i</w:t>
            </w:r>
            <w:r w:rsidRPr="00A26433">
              <w:rPr>
                <w:rFonts w:eastAsia="Times New Roman"/>
                <w:sz w:val="20"/>
                <w:szCs w:val="20"/>
                <w:lang w:eastAsia="en-GB" w:bidi="ne-NP"/>
              </w:rPr>
              <w:t xml:space="preserve"> rezultāti saskaņā ar B.7. </w:t>
            </w:r>
            <w:r>
              <w:rPr>
                <w:rFonts w:eastAsia="Times New Roman"/>
                <w:sz w:val="20"/>
                <w:szCs w:val="20"/>
                <w:lang w:eastAsia="en-GB" w:bidi="ne-NP"/>
              </w:rPr>
              <w:t>sa</w:t>
            </w:r>
            <w:r w:rsidRPr="00A26433">
              <w:rPr>
                <w:rFonts w:eastAsia="Times New Roman"/>
                <w:sz w:val="20"/>
                <w:szCs w:val="20"/>
                <w:lang w:eastAsia="en-GB" w:bidi="ne-NP"/>
              </w:rPr>
              <w:t xml:space="preserve">daļā un B.10. </w:t>
            </w:r>
            <w:r>
              <w:rPr>
                <w:rFonts w:eastAsia="Times New Roman"/>
                <w:sz w:val="20"/>
                <w:szCs w:val="20"/>
                <w:lang w:eastAsia="en-GB" w:bidi="ne-NP"/>
              </w:rPr>
              <w:t>sadaļā norādīto informāciju. Detalizētu</w:t>
            </w:r>
            <w:r w:rsidRPr="00A26433">
              <w:rPr>
                <w:rFonts w:eastAsia="Times New Roman"/>
                <w:sz w:val="20"/>
                <w:szCs w:val="20"/>
                <w:lang w:eastAsia="en-GB" w:bidi="ne-NP"/>
              </w:rPr>
              <w:t xml:space="preserve"> informāciju skatīt arī 1.pielikumā.</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DE89A85" w14:textId="1FF32B1F" w:rsidR="007D4BF3" w:rsidRPr="00E10694" w:rsidRDefault="007D4BF3" w:rsidP="007468B0">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 </w:t>
            </w:r>
            <w:proofErr w:type="spellStart"/>
            <w:r w:rsidR="007468B0">
              <w:rPr>
                <w:rFonts w:eastAsia="Times New Roman"/>
                <w:sz w:val="20"/>
                <w:szCs w:val="20"/>
                <w:lang w:eastAsia="en-GB" w:bidi="ne-NP"/>
              </w:rPr>
              <w:t>i</w:t>
            </w:r>
            <w:r w:rsidR="00BE10FF">
              <w:rPr>
                <w:rFonts w:eastAsia="Times New Roman"/>
                <w:sz w:val="20"/>
                <w:szCs w:val="20"/>
                <w:lang w:eastAsia="en-GB" w:bidi="ne-NP"/>
              </w:rPr>
              <w:t>.</w:t>
            </w:r>
            <w:r w:rsidR="005017AF" w:rsidRPr="00E10694">
              <w:rPr>
                <w:rFonts w:eastAsia="Times New Roman"/>
                <w:sz w:val="20"/>
                <w:szCs w:val="20"/>
                <w:lang w:eastAsia="en-GB" w:bidi="ne-NP"/>
              </w:rPr>
              <w:t>T.P</w:t>
            </w:r>
            <w:proofErr w:type="spellEnd"/>
            <w:r w:rsidR="005017AF" w:rsidRPr="00E10694">
              <w:rPr>
                <w:rFonts w:eastAsia="Times New Roman"/>
                <w:sz w:val="20"/>
                <w:szCs w:val="20"/>
                <w:lang w:eastAsia="en-GB" w:bidi="ne-NP"/>
              </w:rPr>
              <w:t>. 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F7CC8B1" w14:textId="03A213CB" w:rsidR="00A26433" w:rsidRPr="00E10694" w:rsidRDefault="00A26433" w:rsidP="007D4BF3">
            <w:pPr>
              <w:spacing w:after="0" w:line="240" w:lineRule="auto"/>
              <w:jc w:val="both"/>
              <w:rPr>
                <w:rFonts w:eastAsia="Times New Roman"/>
                <w:sz w:val="20"/>
                <w:szCs w:val="20"/>
                <w:lang w:eastAsia="en-GB" w:bidi="ne-NP"/>
              </w:rPr>
            </w:pPr>
            <w:r w:rsidRPr="00A26433">
              <w:rPr>
                <w:rFonts w:eastAsia="Times New Roman"/>
                <w:sz w:val="20"/>
                <w:szCs w:val="20"/>
                <w:lang w:eastAsia="en-GB" w:bidi="ne-NP"/>
              </w:rPr>
              <w:t>Divu gadu pasākumu kopum</w:t>
            </w:r>
            <w:r>
              <w:rPr>
                <w:rFonts w:eastAsia="Times New Roman"/>
                <w:sz w:val="20"/>
                <w:szCs w:val="20"/>
                <w:lang w:eastAsia="en-GB" w:bidi="ne-NP"/>
              </w:rPr>
              <w:t>i</w:t>
            </w:r>
            <w:r w:rsidRPr="00A26433">
              <w:rPr>
                <w:rFonts w:eastAsia="Times New Roman"/>
                <w:sz w:val="20"/>
                <w:szCs w:val="20"/>
                <w:lang w:eastAsia="en-GB" w:bidi="ne-NP"/>
              </w:rPr>
              <w:t>, kas īstenot</w:t>
            </w:r>
            <w:r>
              <w:rPr>
                <w:rFonts w:eastAsia="Times New Roman"/>
                <w:sz w:val="20"/>
                <w:szCs w:val="20"/>
                <w:lang w:eastAsia="en-GB" w:bidi="ne-NP"/>
              </w:rPr>
              <w:t xml:space="preserve">i </w:t>
            </w:r>
            <w:r w:rsidRPr="00A26433">
              <w:rPr>
                <w:rFonts w:eastAsia="Times New Roman"/>
                <w:sz w:val="20"/>
                <w:szCs w:val="20"/>
                <w:lang w:eastAsia="en-GB" w:bidi="ne-NP"/>
              </w:rPr>
              <w:t xml:space="preserve">saskaņā ar B.7. un B.10. </w:t>
            </w:r>
            <w:r>
              <w:rPr>
                <w:rFonts w:eastAsia="Times New Roman"/>
                <w:sz w:val="20"/>
                <w:szCs w:val="20"/>
                <w:lang w:eastAsia="en-GB" w:bidi="ne-NP"/>
              </w:rPr>
              <w:t>sa</w:t>
            </w:r>
            <w:r w:rsidRPr="00A26433">
              <w:rPr>
                <w:rFonts w:eastAsia="Times New Roman"/>
                <w:sz w:val="20"/>
                <w:szCs w:val="20"/>
                <w:lang w:eastAsia="en-GB" w:bidi="ne-NP"/>
              </w:rPr>
              <w:t xml:space="preserve">daļā </w:t>
            </w:r>
            <w:r>
              <w:rPr>
                <w:rFonts w:eastAsia="Times New Roman"/>
                <w:sz w:val="20"/>
                <w:szCs w:val="20"/>
                <w:lang w:eastAsia="en-GB" w:bidi="ne-NP"/>
              </w:rPr>
              <w:t>norādīto informāciju.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12C091D" w14:textId="4E481CFA" w:rsidR="00A26433" w:rsidRPr="00E10694" w:rsidRDefault="00A26433" w:rsidP="00115D86">
            <w:pPr>
              <w:spacing w:after="0" w:line="240" w:lineRule="auto"/>
              <w:ind w:left="31" w:right="57"/>
              <w:jc w:val="both"/>
              <w:rPr>
                <w:rFonts w:eastAsia="Times New Roman"/>
                <w:sz w:val="20"/>
                <w:szCs w:val="20"/>
                <w:lang w:eastAsia="en-GB" w:bidi="ne-NP"/>
              </w:rPr>
            </w:pPr>
            <w:r>
              <w:rPr>
                <w:rFonts w:eastAsia="Times New Roman"/>
                <w:sz w:val="20"/>
                <w:szCs w:val="20"/>
                <w:lang w:eastAsia="en-GB" w:bidi="ne-NP"/>
              </w:rPr>
              <w:t>P</w:t>
            </w:r>
            <w:r w:rsidRPr="00A26433">
              <w:rPr>
                <w:rFonts w:eastAsia="Times New Roman"/>
                <w:sz w:val="20"/>
                <w:szCs w:val="20"/>
                <w:lang w:eastAsia="en-GB" w:bidi="ne-NP"/>
              </w:rPr>
              <w:t xml:space="preserve">asākumu skaits, kas īstenoti saskaņā ar B.7. un B10. </w:t>
            </w:r>
            <w:r>
              <w:rPr>
                <w:rFonts w:eastAsia="Times New Roman"/>
                <w:sz w:val="20"/>
                <w:szCs w:val="20"/>
                <w:lang w:eastAsia="en-GB" w:bidi="ne-NP"/>
              </w:rPr>
              <w:t>sa</w:t>
            </w:r>
            <w:r w:rsidRPr="00A26433">
              <w:rPr>
                <w:rFonts w:eastAsia="Times New Roman"/>
                <w:sz w:val="20"/>
                <w:szCs w:val="20"/>
                <w:lang w:eastAsia="en-GB" w:bidi="ne-NP"/>
              </w:rPr>
              <w:t xml:space="preserve">daļā </w:t>
            </w:r>
            <w:r>
              <w:rPr>
                <w:rFonts w:eastAsia="Times New Roman"/>
                <w:sz w:val="20"/>
                <w:szCs w:val="20"/>
                <w:lang w:eastAsia="en-GB" w:bidi="ne-NP"/>
              </w:rPr>
              <w:t>norādīto informāciju.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1667D13" w14:textId="1B1CD8E9" w:rsidR="007D4BF3" w:rsidRPr="00E10694" w:rsidRDefault="00345B93" w:rsidP="00D62D83">
            <w:pPr>
              <w:spacing w:after="0" w:line="240" w:lineRule="auto"/>
              <w:ind w:left="106" w:right="75"/>
              <w:jc w:val="both"/>
              <w:rPr>
                <w:rFonts w:eastAsia="Times New Roman"/>
                <w:sz w:val="20"/>
                <w:szCs w:val="20"/>
                <w:lang w:eastAsia="en-GB" w:bidi="ne-NP"/>
              </w:rPr>
            </w:pPr>
            <w:r w:rsidRPr="00E10694">
              <w:rPr>
                <w:rFonts w:eastAsia="Times New Roman"/>
                <w:sz w:val="20"/>
                <w:szCs w:val="20"/>
                <w:lang w:eastAsia="en-GB" w:bidi="ne-NP"/>
              </w:rPr>
              <w:t>Pamatojoties uz finansējumu, kas nav saistīts ar izmaksām</w:t>
            </w:r>
          </w:p>
        </w:tc>
      </w:tr>
    </w:tbl>
    <w:p w14:paraId="7D9B6E71" w14:textId="77777777" w:rsidR="00994D57" w:rsidRPr="00E10694" w:rsidRDefault="00994D57" w:rsidP="00CF0674">
      <w:pPr>
        <w:shd w:val="clear" w:color="auto" w:fill="FFFFFF"/>
        <w:spacing w:after="0" w:line="240" w:lineRule="auto"/>
        <w:jc w:val="both"/>
        <w:rPr>
          <w:rFonts w:eastAsia="Times New Roman"/>
          <w:b/>
          <w:bCs/>
          <w:sz w:val="20"/>
          <w:szCs w:val="20"/>
          <w:lang w:eastAsia="en-GB" w:bidi="ne-NP"/>
        </w:rPr>
      </w:pPr>
    </w:p>
    <w:p w14:paraId="5A34E9CE" w14:textId="5FA5FB02" w:rsidR="00CF0674" w:rsidRPr="00E10694" w:rsidRDefault="00CF0674" w:rsidP="00CF0674">
      <w:pPr>
        <w:shd w:val="clear" w:color="auto" w:fill="FFFFFF"/>
        <w:spacing w:after="0" w:line="240" w:lineRule="auto"/>
        <w:jc w:val="both"/>
        <w:rPr>
          <w:rFonts w:eastAsia="Times New Roman"/>
          <w:b/>
          <w:bCs/>
          <w:sz w:val="20"/>
          <w:szCs w:val="20"/>
          <w:lang w:eastAsia="en-GB" w:bidi="ne-NP"/>
        </w:rPr>
      </w:pPr>
      <w:r w:rsidRPr="00E10694">
        <w:rPr>
          <w:rFonts w:eastAsia="Times New Roman"/>
          <w:b/>
          <w:bCs/>
          <w:sz w:val="20"/>
          <w:szCs w:val="20"/>
          <w:lang w:eastAsia="en-GB" w:bidi="ne-NP"/>
        </w:rPr>
        <w:t>B.   Sīkāka informācija pa darbības veidiem (aizpilda par katru darbības veidu)</w:t>
      </w:r>
    </w:p>
    <w:tbl>
      <w:tblPr>
        <w:tblW w:w="5021"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2543"/>
        <w:gridCol w:w="9240"/>
        <w:gridCol w:w="1007"/>
        <w:gridCol w:w="2657"/>
      </w:tblGrid>
      <w:tr w:rsidR="00E10694" w:rsidRPr="00E10694" w14:paraId="7275C867"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184"/>
              <w:gridCol w:w="2344"/>
            </w:tblGrid>
            <w:tr w:rsidR="00E10694" w:rsidRPr="00E10694" w14:paraId="4A456422" w14:textId="77777777" w:rsidTr="0029696D">
              <w:tc>
                <w:tcPr>
                  <w:tcW w:w="0" w:type="auto"/>
                  <w:shd w:val="clear" w:color="auto" w:fill="auto"/>
                  <w:hideMark/>
                </w:tcPr>
                <w:p w14:paraId="3AFA664B"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1.</w:t>
                  </w:r>
                </w:p>
              </w:tc>
              <w:tc>
                <w:tcPr>
                  <w:tcW w:w="0" w:type="auto"/>
                  <w:shd w:val="clear" w:color="auto" w:fill="auto"/>
                  <w:hideMark/>
                </w:tcPr>
                <w:p w14:paraId="333318A6"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Darbības veida apraksts</w:t>
                  </w:r>
                </w:p>
              </w:tc>
            </w:tr>
          </w:tbl>
          <w:p w14:paraId="631F3F4C" w14:textId="77777777" w:rsidR="00CF0674" w:rsidRPr="00E10694" w:rsidRDefault="00CF0674" w:rsidP="00CF0674">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6A02DDB4" w14:textId="15978B84" w:rsidR="00E34B58" w:rsidRPr="00E10694" w:rsidRDefault="00E34B58" w:rsidP="00181482">
            <w:pPr>
              <w:spacing w:after="60" w:line="240" w:lineRule="auto"/>
              <w:ind w:left="142" w:right="136"/>
              <w:jc w:val="both"/>
              <w:rPr>
                <w:rFonts w:eastAsia="Times New Roman"/>
                <w:sz w:val="20"/>
                <w:szCs w:val="20"/>
                <w:lang w:eastAsia="en-GB" w:bidi="ne-NP"/>
              </w:rPr>
            </w:pPr>
            <w:r w:rsidRPr="00E10694">
              <w:rPr>
                <w:rFonts w:eastAsia="Times New Roman"/>
                <w:sz w:val="20"/>
                <w:szCs w:val="20"/>
                <w:lang w:eastAsia="en-GB" w:bidi="ne-NP"/>
              </w:rPr>
              <w:t xml:space="preserve">Administratīvās kapacitātes ceļa kartes ietvaros tiks īstenoti 22 pasākumi </w:t>
            </w:r>
            <w:r w:rsidR="00E54741" w:rsidRPr="00E10694">
              <w:rPr>
                <w:rFonts w:eastAsia="Times New Roman"/>
                <w:sz w:val="20"/>
                <w:szCs w:val="20"/>
                <w:lang w:eastAsia="en-GB" w:bidi="ne-NP"/>
              </w:rPr>
              <w:t xml:space="preserve">ES </w:t>
            </w:r>
            <w:r w:rsidRPr="00E10694">
              <w:rPr>
                <w:rFonts w:eastAsia="Times New Roman"/>
                <w:sz w:val="20"/>
                <w:szCs w:val="20"/>
                <w:lang w:eastAsia="en-GB" w:bidi="ne-NP"/>
              </w:rPr>
              <w:t>fondu īstenošanā, vadībā un kontrolē iesaistīto iestāžu un struktūru spēju uzlabošanai:</w:t>
            </w:r>
          </w:p>
          <w:p w14:paraId="1D07D6E3" w14:textId="383D1117" w:rsidR="003A2BED"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I prioritāte</w:t>
            </w:r>
            <w:r w:rsidR="00730990" w:rsidRPr="00E10694">
              <w:rPr>
                <w:rFonts w:eastAsia="Times New Roman"/>
                <w:b/>
                <w:bCs/>
                <w:sz w:val="20"/>
                <w:szCs w:val="20"/>
                <w:lang w:eastAsia="en-GB" w:bidi="ne-NP"/>
              </w:rPr>
              <w:t>s</w:t>
            </w:r>
            <w:r w:rsidRPr="00E10694">
              <w:rPr>
                <w:rFonts w:eastAsia="Times New Roman"/>
                <w:b/>
                <w:bCs/>
                <w:sz w:val="20"/>
                <w:szCs w:val="20"/>
                <w:lang w:eastAsia="en-GB" w:bidi="ne-NP"/>
              </w:rPr>
              <w:t xml:space="preserve"> “Iestāžu veiktspējas stiprināšana”</w:t>
            </w:r>
            <w:r w:rsidR="00EF6683" w:rsidRPr="00E10694">
              <w:rPr>
                <w:rFonts w:eastAsia="Times New Roman"/>
                <w:b/>
                <w:bCs/>
                <w:sz w:val="20"/>
                <w:szCs w:val="20"/>
                <w:lang w:eastAsia="en-GB" w:bidi="ne-NP"/>
              </w:rPr>
              <w:t xml:space="preserve"> </w:t>
            </w:r>
            <w:r w:rsidR="00730990" w:rsidRPr="00E10694">
              <w:rPr>
                <w:rFonts w:eastAsia="Times New Roman"/>
                <w:sz w:val="20"/>
                <w:szCs w:val="20"/>
                <w:lang w:eastAsia="en-GB" w:bidi="ne-NP"/>
              </w:rPr>
              <w:t>ietvaros tiks v</w:t>
            </w:r>
            <w:r w:rsidR="003A2BED" w:rsidRPr="00E10694">
              <w:rPr>
                <w:rFonts w:eastAsia="Times New Roman"/>
                <w:sz w:val="20"/>
                <w:szCs w:val="20"/>
                <w:lang w:eastAsia="en-GB" w:bidi="ne-NP"/>
              </w:rPr>
              <w:t>eicināt</w:t>
            </w:r>
            <w:r w:rsidR="00730990" w:rsidRPr="00E10694">
              <w:rPr>
                <w:rFonts w:eastAsia="Times New Roman"/>
                <w:sz w:val="20"/>
                <w:szCs w:val="20"/>
                <w:lang w:eastAsia="en-GB" w:bidi="ne-NP"/>
              </w:rPr>
              <w:t>a</w:t>
            </w:r>
            <w:r w:rsidR="003A2BED" w:rsidRPr="00E10694">
              <w:rPr>
                <w:rFonts w:eastAsia="Times New Roman"/>
                <w:sz w:val="20"/>
                <w:szCs w:val="20"/>
                <w:lang w:eastAsia="en-GB" w:bidi="ne-NP"/>
              </w:rPr>
              <w:t xml:space="preserve"> institūciju darbības kapacitāt</w:t>
            </w:r>
            <w:r w:rsidR="00730990" w:rsidRPr="00E10694">
              <w:rPr>
                <w:rFonts w:eastAsia="Times New Roman"/>
                <w:sz w:val="20"/>
                <w:szCs w:val="20"/>
                <w:lang w:eastAsia="en-GB" w:bidi="ne-NP"/>
              </w:rPr>
              <w:t>e,</w:t>
            </w:r>
            <w:r w:rsidR="00EF6683" w:rsidRPr="00E10694">
              <w:rPr>
                <w:rFonts w:eastAsia="Times New Roman"/>
                <w:sz w:val="20"/>
                <w:szCs w:val="20"/>
                <w:lang w:eastAsia="en-GB" w:bidi="ne-NP"/>
              </w:rPr>
              <w:t xml:space="preserve"> uzlabojot</w:t>
            </w:r>
            <w:r w:rsidR="003A2BED" w:rsidRPr="00E10694">
              <w:rPr>
                <w:rFonts w:eastAsia="Times New Roman"/>
                <w:sz w:val="20"/>
                <w:szCs w:val="20"/>
                <w:lang w:eastAsia="en-GB" w:bidi="ne-NP"/>
              </w:rPr>
              <w:t xml:space="preserve"> valsts pārvaldes institūciju spēj</w:t>
            </w:r>
            <w:r w:rsidR="00EF6683" w:rsidRPr="00E10694">
              <w:rPr>
                <w:rFonts w:eastAsia="Times New Roman"/>
                <w:sz w:val="20"/>
                <w:szCs w:val="20"/>
                <w:lang w:eastAsia="en-GB" w:bidi="ne-NP"/>
              </w:rPr>
              <w:t>u</w:t>
            </w:r>
            <w:r w:rsidR="003A2BED" w:rsidRPr="00E10694">
              <w:rPr>
                <w:rFonts w:eastAsia="Times New Roman"/>
                <w:sz w:val="20"/>
                <w:szCs w:val="20"/>
                <w:lang w:eastAsia="en-GB" w:bidi="ne-NP"/>
              </w:rPr>
              <w:t xml:space="preserve"> nodrošināt caurskatāmu, efektīvu un uzticamu kohēzijas politikas īstenošanu;</w:t>
            </w:r>
            <w:r w:rsidR="00EF6683" w:rsidRPr="00E10694">
              <w:rPr>
                <w:rFonts w:eastAsia="Times New Roman"/>
                <w:sz w:val="20"/>
                <w:szCs w:val="20"/>
                <w:lang w:eastAsia="en-GB" w:bidi="ne-NP"/>
              </w:rPr>
              <w:t xml:space="preserve"> nodrošinot l</w:t>
            </w:r>
            <w:r w:rsidR="003A2BED" w:rsidRPr="00E10694">
              <w:rPr>
                <w:rFonts w:eastAsia="Times New Roman"/>
                <w:sz w:val="20"/>
                <w:szCs w:val="20"/>
                <w:lang w:eastAsia="en-GB" w:bidi="ne-NP"/>
              </w:rPr>
              <w:t>abākas un efektīvākas politikas plānošanas, koordinācijas, procesu un pakalpojumu attīstīb</w:t>
            </w:r>
            <w:r w:rsidR="00EF6683" w:rsidRPr="00E10694">
              <w:rPr>
                <w:rFonts w:eastAsia="Times New Roman"/>
                <w:sz w:val="20"/>
                <w:szCs w:val="20"/>
                <w:lang w:eastAsia="en-GB" w:bidi="ne-NP"/>
              </w:rPr>
              <w:t>u; veicinot p</w:t>
            </w:r>
            <w:r w:rsidR="003A2BED" w:rsidRPr="00E10694">
              <w:rPr>
                <w:rFonts w:eastAsia="Times New Roman"/>
                <w:sz w:val="20"/>
                <w:szCs w:val="20"/>
                <w:lang w:eastAsia="en-GB" w:bidi="ne-NP"/>
              </w:rPr>
              <w:t>lānošanas reģionu un pašvaldību resursu stiprināšan</w:t>
            </w:r>
            <w:r w:rsidR="00EF6683" w:rsidRPr="00E10694">
              <w:rPr>
                <w:rFonts w:eastAsia="Times New Roman"/>
                <w:sz w:val="20"/>
                <w:szCs w:val="20"/>
                <w:lang w:eastAsia="en-GB" w:bidi="ne-NP"/>
              </w:rPr>
              <w:t>u</w:t>
            </w:r>
            <w:r w:rsidR="003A2BED" w:rsidRPr="00E10694">
              <w:rPr>
                <w:rFonts w:eastAsia="Times New Roman"/>
                <w:sz w:val="20"/>
                <w:szCs w:val="20"/>
                <w:lang w:eastAsia="en-GB" w:bidi="ne-NP"/>
              </w:rPr>
              <w:t xml:space="preserve"> veikt transformējošas pārmaiņas administratīvi teritoriālās reformas īstenošanas kontekstā;</w:t>
            </w:r>
            <w:r w:rsidR="00EF6683" w:rsidRPr="00E10694">
              <w:rPr>
                <w:rFonts w:eastAsia="Times New Roman"/>
                <w:sz w:val="20"/>
                <w:szCs w:val="20"/>
                <w:lang w:eastAsia="en-GB" w:bidi="ne-NP"/>
              </w:rPr>
              <w:t xml:space="preserve"> stiprinot </w:t>
            </w:r>
            <w:r w:rsidR="00E54741" w:rsidRPr="00E10694">
              <w:rPr>
                <w:rFonts w:eastAsia="Times New Roman"/>
                <w:sz w:val="20"/>
                <w:szCs w:val="20"/>
                <w:lang w:eastAsia="en-GB" w:bidi="ne-NP"/>
              </w:rPr>
              <w:t xml:space="preserve">nevalstisko organizāciju (turpmāk – NVO) </w:t>
            </w:r>
            <w:r w:rsidR="003A2BED" w:rsidRPr="00E10694">
              <w:rPr>
                <w:rFonts w:eastAsia="Times New Roman"/>
                <w:sz w:val="20"/>
                <w:szCs w:val="20"/>
                <w:lang w:eastAsia="en-GB" w:bidi="ne-NP"/>
              </w:rPr>
              <w:t>spēju</w:t>
            </w:r>
            <w:r w:rsidR="00EF6683" w:rsidRPr="00E10694">
              <w:rPr>
                <w:rFonts w:eastAsia="Times New Roman"/>
                <w:sz w:val="20"/>
                <w:szCs w:val="20"/>
                <w:lang w:eastAsia="en-GB" w:bidi="ne-NP"/>
              </w:rPr>
              <w:t xml:space="preserve"> un sniedzot a</w:t>
            </w:r>
            <w:r w:rsidR="003A2BED" w:rsidRPr="00E10694">
              <w:rPr>
                <w:rFonts w:eastAsia="Times New Roman"/>
                <w:sz w:val="20"/>
                <w:szCs w:val="20"/>
                <w:lang w:eastAsia="en-GB" w:bidi="ne-NP"/>
              </w:rPr>
              <w:t>tbalst</w:t>
            </w:r>
            <w:r w:rsidR="00EF6683" w:rsidRPr="00E10694">
              <w:rPr>
                <w:rFonts w:eastAsia="Times New Roman"/>
                <w:sz w:val="20"/>
                <w:szCs w:val="20"/>
                <w:lang w:eastAsia="en-GB" w:bidi="ne-NP"/>
              </w:rPr>
              <w:t>u</w:t>
            </w:r>
            <w:r w:rsidR="003A2BED" w:rsidRPr="00E10694">
              <w:rPr>
                <w:rFonts w:eastAsia="Times New Roman"/>
                <w:sz w:val="20"/>
                <w:szCs w:val="20"/>
                <w:lang w:eastAsia="en-GB" w:bidi="ne-NP"/>
              </w:rPr>
              <w:t xml:space="preserve"> pārmaiņu vadības komandām un finanšu saņēmējiem</w:t>
            </w:r>
            <w:r w:rsidR="00EF6683" w:rsidRPr="00E10694">
              <w:rPr>
                <w:rFonts w:eastAsia="Times New Roman"/>
                <w:sz w:val="20"/>
                <w:szCs w:val="20"/>
                <w:lang w:eastAsia="en-GB" w:bidi="ne-NP"/>
              </w:rPr>
              <w:t>:</w:t>
            </w:r>
          </w:p>
          <w:p w14:paraId="6BD9014C" w14:textId="5A391F10" w:rsidR="00531B09" w:rsidRPr="00E10694" w:rsidRDefault="00531B09" w:rsidP="00181482">
            <w:pPr>
              <w:pStyle w:val="ListParagraph"/>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lastRenderedPageBreak/>
              <w:t>1)</w:t>
            </w:r>
            <w:r w:rsidRPr="00E10694">
              <w:rPr>
                <w:rFonts w:eastAsia="Times New Roman"/>
                <w:sz w:val="20"/>
                <w:szCs w:val="20"/>
                <w:lang w:eastAsia="en-GB" w:bidi="ne-NP"/>
              </w:rPr>
              <w:t xml:space="preserve"> 1.3.</w:t>
            </w:r>
            <w:r w:rsidRPr="00E10694">
              <w:t xml:space="preserve"> </w:t>
            </w:r>
            <w:r w:rsidRPr="00E10694">
              <w:rPr>
                <w:rFonts w:eastAsia="Times New Roman"/>
                <w:sz w:val="20"/>
                <w:szCs w:val="20"/>
                <w:lang w:eastAsia="en-GB" w:bidi="ne-NP"/>
              </w:rPr>
              <w:t>Sabiedrības līdzdalība caurspīdīgā un tiesiskā ES fondu projektu ieviešanas uzraudzībā</w:t>
            </w:r>
            <w:r w:rsidR="00B234D5" w:rsidRPr="00E10694">
              <w:rPr>
                <w:rFonts w:eastAsia="Times New Roman"/>
                <w:sz w:val="20"/>
                <w:szCs w:val="20"/>
                <w:lang w:eastAsia="en-GB" w:bidi="ne-NP"/>
              </w:rPr>
              <w:t xml:space="preserve"> </w:t>
            </w:r>
            <w:r w:rsidR="009311DF" w:rsidRPr="00E10694">
              <w:rPr>
                <w:rFonts w:eastAsia="Times New Roman"/>
                <w:sz w:val="20"/>
                <w:szCs w:val="20"/>
                <w:lang w:eastAsia="en-GB" w:bidi="ne-NP"/>
              </w:rPr>
              <w:t>(</w:t>
            </w:r>
            <w:proofErr w:type="spellStart"/>
            <w:r w:rsidR="00D25193" w:rsidRPr="00E10694">
              <w:rPr>
                <w:rFonts w:eastAsia="Times New Roman"/>
                <w:sz w:val="20"/>
                <w:szCs w:val="20"/>
                <w:lang w:eastAsia="en-GB" w:bidi="ne-NP"/>
              </w:rPr>
              <w:t>domnīcu</w:t>
            </w:r>
            <w:proofErr w:type="spellEnd"/>
            <w:r w:rsidR="00D25193" w:rsidRPr="00E10694">
              <w:rPr>
                <w:rFonts w:eastAsia="Times New Roman"/>
                <w:sz w:val="20"/>
                <w:szCs w:val="20"/>
                <w:lang w:eastAsia="en-GB" w:bidi="ne-NP"/>
              </w:rPr>
              <w:t xml:space="preserve"> organizēšana diskusijām par Integritātes </w:t>
            </w:r>
            <w:proofErr w:type="spellStart"/>
            <w:r w:rsidR="00D25193" w:rsidRPr="00E10694">
              <w:rPr>
                <w:rFonts w:eastAsia="Times New Roman"/>
                <w:sz w:val="20"/>
                <w:szCs w:val="20"/>
                <w:lang w:eastAsia="en-GB" w:bidi="ne-NP"/>
              </w:rPr>
              <w:t>paktu</w:t>
            </w:r>
            <w:proofErr w:type="spellEnd"/>
            <w:r w:rsidR="00D25193" w:rsidRPr="00E10694">
              <w:rPr>
                <w:rFonts w:eastAsia="Times New Roman"/>
                <w:sz w:val="20"/>
                <w:szCs w:val="20"/>
                <w:lang w:eastAsia="en-GB" w:bidi="ne-NP"/>
              </w:rPr>
              <w:t xml:space="preserve"> ieviešanu Latvijā; starptautiskās pieredzes izpēte un pārņemšana integritātes </w:t>
            </w:r>
            <w:proofErr w:type="spellStart"/>
            <w:r w:rsidR="00D25193" w:rsidRPr="00E10694">
              <w:rPr>
                <w:rFonts w:eastAsia="Times New Roman"/>
                <w:sz w:val="20"/>
                <w:szCs w:val="20"/>
                <w:lang w:eastAsia="en-GB" w:bidi="ne-NP"/>
              </w:rPr>
              <w:t>paktu</w:t>
            </w:r>
            <w:proofErr w:type="spellEnd"/>
            <w:r w:rsidR="00D25193" w:rsidRPr="00E10694">
              <w:rPr>
                <w:rFonts w:eastAsia="Times New Roman"/>
                <w:sz w:val="20"/>
                <w:szCs w:val="20"/>
                <w:lang w:eastAsia="en-GB" w:bidi="ne-NP"/>
              </w:rPr>
              <w:t xml:space="preserve"> ieviešanā; informatīvās kampaņas īstenošana; integritātes </w:t>
            </w:r>
            <w:proofErr w:type="spellStart"/>
            <w:r w:rsidR="00D25193" w:rsidRPr="00E10694">
              <w:rPr>
                <w:rFonts w:eastAsia="Times New Roman"/>
                <w:sz w:val="20"/>
                <w:szCs w:val="20"/>
                <w:lang w:eastAsia="en-GB" w:bidi="ne-NP"/>
              </w:rPr>
              <w:t>paktu</w:t>
            </w:r>
            <w:proofErr w:type="spellEnd"/>
            <w:r w:rsidR="00D25193" w:rsidRPr="00E10694">
              <w:rPr>
                <w:rFonts w:eastAsia="Times New Roman"/>
                <w:sz w:val="20"/>
                <w:szCs w:val="20"/>
                <w:lang w:eastAsia="en-GB" w:bidi="ne-NP"/>
              </w:rPr>
              <w:t xml:space="preserve"> standarta izstrāde valsts pārvaldei</w:t>
            </w:r>
            <w:r w:rsidR="009311DF" w:rsidRPr="00E10694">
              <w:rPr>
                <w:rFonts w:eastAsia="Times New Roman"/>
                <w:sz w:val="20"/>
                <w:szCs w:val="20"/>
                <w:lang w:eastAsia="en-GB" w:bidi="ne-NP"/>
              </w:rPr>
              <w:t>)</w:t>
            </w:r>
            <w:r w:rsidR="00932146" w:rsidRPr="00E10694">
              <w:rPr>
                <w:rFonts w:eastAsia="Times New Roman"/>
                <w:sz w:val="20"/>
                <w:szCs w:val="20"/>
                <w:lang w:eastAsia="en-GB" w:bidi="ne-NP"/>
              </w:rPr>
              <w:t>;</w:t>
            </w:r>
          </w:p>
          <w:p w14:paraId="7F13BCD6" w14:textId="5C698918" w:rsidR="00531B09" w:rsidRPr="00E10694" w:rsidRDefault="00531B09" w:rsidP="00181482">
            <w:pPr>
              <w:pStyle w:val="ListParagraph"/>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2)</w:t>
            </w:r>
            <w:r w:rsidRPr="00E10694">
              <w:rPr>
                <w:rFonts w:eastAsia="Times New Roman"/>
                <w:sz w:val="20"/>
                <w:szCs w:val="20"/>
                <w:lang w:eastAsia="en-GB" w:bidi="ne-NP"/>
              </w:rPr>
              <w:t xml:space="preserve"> 1.4.</w:t>
            </w:r>
            <w:r w:rsidR="00B234D5" w:rsidRPr="00E10694">
              <w:rPr>
                <w:rFonts w:eastAsia="Times New Roman"/>
                <w:sz w:val="20"/>
                <w:szCs w:val="20"/>
                <w:lang w:eastAsia="en-GB" w:bidi="ne-NP"/>
              </w:rPr>
              <w:t xml:space="preserve"> </w:t>
            </w:r>
            <w:r w:rsidRPr="00E10694">
              <w:rPr>
                <w:rFonts w:eastAsia="Times New Roman"/>
                <w:sz w:val="20"/>
                <w:szCs w:val="20"/>
                <w:lang w:eastAsia="en-GB" w:bidi="ne-NP"/>
              </w:rPr>
              <w:t>Stiprināta un attīstīta snieguma vadības prakse, lai atbalstītu datos balstītu rezultātu un ietekmes novērtēšanu</w:t>
            </w:r>
            <w:r w:rsidR="0093667A" w:rsidRPr="00E10694">
              <w:rPr>
                <w:rFonts w:eastAsia="Times New Roman"/>
                <w:sz w:val="20"/>
                <w:szCs w:val="20"/>
                <w:lang w:eastAsia="en-GB" w:bidi="ne-NP"/>
              </w:rPr>
              <w:t xml:space="preserve"> (</w:t>
            </w:r>
            <w:r w:rsidR="005370D8" w:rsidRPr="00E10694">
              <w:rPr>
                <w:rFonts w:eastAsia="Times New Roman"/>
                <w:sz w:val="20"/>
                <w:szCs w:val="20"/>
                <w:lang w:eastAsia="en-GB" w:bidi="ne-NP"/>
              </w:rPr>
              <w:t xml:space="preserve">apmācību rezultātā stiprināta </w:t>
            </w:r>
            <w:proofErr w:type="spellStart"/>
            <w:r w:rsidR="005370D8" w:rsidRPr="00E10694">
              <w:rPr>
                <w:rFonts w:eastAsia="Times New Roman"/>
                <w:sz w:val="20"/>
                <w:szCs w:val="20"/>
                <w:lang w:eastAsia="en-GB" w:bidi="ne-NP"/>
              </w:rPr>
              <w:t>izvērtējumu</w:t>
            </w:r>
            <w:proofErr w:type="spellEnd"/>
            <w:r w:rsidR="005370D8" w:rsidRPr="00E10694">
              <w:rPr>
                <w:rFonts w:eastAsia="Times New Roman"/>
                <w:sz w:val="20"/>
                <w:szCs w:val="20"/>
                <w:lang w:eastAsia="en-GB" w:bidi="ne-NP"/>
              </w:rPr>
              <w:t xml:space="preserve"> veikšanas kapacitāte valsts un pašvaldību iestāžu darbiniekiem</w:t>
            </w:r>
            <w:r w:rsidR="0093667A" w:rsidRPr="00E10694">
              <w:rPr>
                <w:rFonts w:eastAsia="Times New Roman"/>
                <w:sz w:val="20"/>
                <w:szCs w:val="20"/>
                <w:lang w:eastAsia="en-GB" w:bidi="ne-NP"/>
              </w:rPr>
              <w:t>)</w:t>
            </w:r>
            <w:r w:rsidR="00932146" w:rsidRPr="00E10694">
              <w:rPr>
                <w:rFonts w:eastAsia="Times New Roman"/>
                <w:sz w:val="20"/>
                <w:szCs w:val="20"/>
                <w:lang w:eastAsia="en-GB" w:bidi="ne-NP"/>
              </w:rPr>
              <w:t>;</w:t>
            </w:r>
          </w:p>
          <w:p w14:paraId="485253CC" w14:textId="57BD4737"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3)</w:t>
            </w:r>
            <w:r w:rsidRPr="00E10694">
              <w:rPr>
                <w:rFonts w:eastAsia="Times New Roman"/>
                <w:sz w:val="20"/>
                <w:szCs w:val="20"/>
                <w:lang w:eastAsia="en-GB" w:bidi="ne-NP"/>
              </w:rPr>
              <w:t xml:space="preserve"> 3.3.</w:t>
            </w:r>
            <w:r w:rsidR="00277208" w:rsidRPr="00E10694">
              <w:rPr>
                <w:rFonts w:eastAsia="Times New Roman"/>
                <w:sz w:val="20"/>
                <w:szCs w:val="20"/>
                <w:lang w:eastAsia="en-GB" w:bidi="ne-NP"/>
              </w:rPr>
              <w:t xml:space="preserve"> </w:t>
            </w:r>
            <w:r w:rsidRPr="00E10694">
              <w:rPr>
                <w:rFonts w:eastAsia="Times New Roman"/>
                <w:sz w:val="20"/>
                <w:szCs w:val="20"/>
                <w:lang w:eastAsia="en-GB" w:bidi="ne-NP"/>
              </w:rPr>
              <w:t>Labās prakses cilvēkresursu vadībā attīstīšana pašvaldībās</w:t>
            </w:r>
            <w:r w:rsidR="00277208" w:rsidRPr="00E10694">
              <w:rPr>
                <w:rFonts w:eastAsia="Times New Roman"/>
                <w:sz w:val="20"/>
                <w:szCs w:val="20"/>
                <w:lang w:eastAsia="en-GB" w:bidi="ne-NP"/>
              </w:rPr>
              <w:t xml:space="preserve"> (</w:t>
            </w:r>
            <w:r w:rsidR="00181482" w:rsidRPr="00E10694">
              <w:rPr>
                <w:rFonts w:eastAsia="Times New Roman"/>
                <w:sz w:val="20"/>
                <w:szCs w:val="20"/>
                <w:lang w:eastAsia="en-GB" w:bidi="ne-NP"/>
              </w:rPr>
              <w:t xml:space="preserve">vadlīniju izstrāde un mācības </w:t>
            </w:r>
            <w:r w:rsidR="00421127" w:rsidRPr="00E10694">
              <w:rPr>
                <w:rFonts w:eastAsia="Times New Roman"/>
                <w:sz w:val="20"/>
                <w:szCs w:val="20"/>
                <w:lang w:eastAsia="en-GB" w:bidi="ne-NP"/>
              </w:rPr>
              <w:t xml:space="preserve">pašvaldību darbiniekiem par </w:t>
            </w:r>
            <w:r w:rsidR="00181482" w:rsidRPr="00E10694">
              <w:rPr>
                <w:rFonts w:eastAsia="Times New Roman"/>
                <w:sz w:val="20"/>
                <w:szCs w:val="20"/>
                <w:lang w:eastAsia="en-GB" w:bidi="ne-NP"/>
              </w:rPr>
              <w:t>personāla politiku izveidi un praktisku cilvēkresursu vadības rīku izstrādi</w:t>
            </w:r>
            <w:r w:rsidR="00421127" w:rsidRPr="00E10694">
              <w:rPr>
                <w:rFonts w:eastAsia="Times New Roman"/>
                <w:sz w:val="20"/>
                <w:szCs w:val="20"/>
                <w:lang w:eastAsia="en-GB" w:bidi="ne-NP"/>
              </w:rPr>
              <w:t>, tādējādi atbalstot pašvaldības cilvēkresursu pārvaldības jautājumos</w:t>
            </w:r>
            <w:r w:rsidR="00277208" w:rsidRPr="00E10694">
              <w:rPr>
                <w:rFonts w:eastAsia="Times New Roman"/>
                <w:sz w:val="20"/>
                <w:szCs w:val="20"/>
                <w:lang w:eastAsia="en-GB" w:bidi="ne-NP"/>
              </w:rPr>
              <w:t>)</w:t>
            </w:r>
            <w:r w:rsidR="00932146" w:rsidRPr="00E10694">
              <w:rPr>
                <w:rFonts w:eastAsia="Times New Roman"/>
                <w:sz w:val="20"/>
                <w:szCs w:val="20"/>
                <w:lang w:eastAsia="en-GB" w:bidi="ne-NP"/>
              </w:rPr>
              <w:t>;</w:t>
            </w:r>
          </w:p>
          <w:p w14:paraId="699ADC3F" w14:textId="61CEC5A1"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4)</w:t>
            </w:r>
            <w:r w:rsidRPr="00E10694">
              <w:rPr>
                <w:rFonts w:eastAsia="Times New Roman"/>
                <w:sz w:val="20"/>
                <w:szCs w:val="20"/>
                <w:lang w:eastAsia="en-GB" w:bidi="ne-NP"/>
              </w:rPr>
              <w:t xml:space="preserve"> 4.4. Uzraudzības komitejas un tās locekļu sadarbība un iesaiste</w:t>
            </w:r>
            <w:r w:rsidR="00C5148C" w:rsidRPr="00E10694">
              <w:rPr>
                <w:rFonts w:eastAsia="Times New Roman"/>
                <w:sz w:val="20"/>
                <w:szCs w:val="20"/>
                <w:lang w:eastAsia="en-GB" w:bidi="ne-NP"/>
              </w:rPr>
              <w:t xml:space="preserve"> (</w:t>
            </w:r>
            <w:r w:rsidR="003330DC" w:rsidRPr="00E10694">
              <w:rPr>
                <w:rFonts w:eastAsia="Times New Roman"/>
                <w:sz w:val="20"/>
                <w:szCs w:val="20"/>
                <w:lang w:eastAsia="en-GB" w:bidi="ne-NP"/>
              </w:rPr>
              <w:t xml:space="preserve">apmācību ietvaros veikta </w:t>
            </w:r>
            <w:r w:rsidR="00283342" w:rsidRPr="00E10694">
              <w:rPr>
                <w:rFonts w:eastAsia="Times New Roman"/>
                <w:sz w:val="20"/>
                <w:szCs w:val="20"/>
                <w:lang w:eastAsia="en-GB" w:bidi="ne-NP"/>
              </w:rPr>
              <w:t xml:space="preserve">Uzraudzības </w:t>
            </w:r>
            <w:r w:rsidR="003330DC" w:rsidRPr="00E10694">
              <w:rPr>
                <w:rFonts w:eastAsia="Times New Roman"/>
                <w:sz w:val="20"/>
                <w:szCs w:val="20"/>
                <w:lang w:eastAsia="en-GB" w:bidi="ne-NP"/>
              </w:rPr>
              <w:t xml:space="preserve">komitejā pārstāvēto NVO kapacitātes stiprināšana, partnerības principa attīstīšana un sabiedrības līdzdalības nodrošināšana </w:t>
            </w:r>
            <w:r w:rsidR="00283342" w:rsidRPr="00E10694">
              <w:rPr>
                <w:rFonts w:eastAsia="Times New Roman"/>
                <w:sz w:val="20"/>
                <w:szCs w:val="20"/>
                <w:lang w:eastAsia="en-GB" w:bidi="ne-NP"/>
              </w:rPr>
              <w:t xml:space="preserve">Kohēzijas </w:t>
            </w:r>
            <w:r w:rsidR="003330DC" w:rsidRPr="00E10694">
              <w:rPr>
                <w:rFonts w:eastAsia="Times New Roman"/>
                <w:sz w:val="20"/>
                <w:szCs w:val="20"/>
                <w:lang w:eastAsia="en-GB" w:bidi="ne-NP"/>
              </w:rPr>
              <w:t>politikas fondu vadības un uzraudzības procesos</w:t>
            </w:r>
            <w:r w:rsidR="00C5148C" w:rsidRPr="00E10694">
              <w:rPr>
                <w:rFonts w:eastAsia="Times New Roman"/>
                <w:sz w:val="20"/>
                <w:szCs w:val="20"/>
                <w:lang w:eastAsia="en-GB" w:bidi="ne-NP"/>
              </w:rPr>
              <w:t>)</w:t>
            </w:r>
            <w:r w:rsidR="00932146" w:rsidRPr="00E10694">
              <w:rPr>
                <w:rFonts w:eastAsia="Times New Roman"/>
                <w:sz w:val="20"/>
                <w:szCs w:val="20"/>
                <w:lang w:eastAsia="en-GB" w:bidi="ne-NP"/>
              </w:rPr>
              <w:t>;</w:t>
            </w:r>
          </w:p>
          <w:p w14:paraId="299B718E" w14:textId="4F56A996" w:rsidR="00531B09" w:rsidRPr="00E10694" w:rsidRDefault="00531B09" w:rsidP="00005E4D">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5)</w:t>
            </w:r>
            <w:r w:rsidRPr="00E10694">
              <w:rPr>
                <w:rFonts w:eastAsia="Times New Roman"/>
                <w:sz w:val="20"/>
                <w:szCs w:val="20"/>
                <w:lang w:eastAsia="en-GB" w:bidi="ne-NP"/>
              </w:rPr>
              <w:t xml:space="preserve"> 4.5. </w:t>
            </w:r>
            <w:r w:rsidR="00456EC0" w:rsidRPr="00E10694">
              <w:rPr>
                <w:rFonts w:eastAsia="Times New Roman"/>
                <w:sz w:val="20"/>
                <w:szCs w:val="20"/>
                <w:lang w:eastAsia="en-GB" w:bidi="ne-NP"/>
              </w:rPr>
              <w:t>A</w:t>
            </w:r>
            <w:r w:rsidRPr="00E10694">
              <w:rPr>
                <w:rFonts w:eastAsia="Times New Roman"/>
                <w:sz w:val="20"/>
                <w:szCs w:val="20"/>
                <w:lang w:eastAsia="en-GB" w:bidi="ne-NP"/>
              </w:rPr>
              <w:t>r jaunu sadarbības platformu un līdzdalības mehānismu iedzīvināšanu</w:t>
            </w:r>
            <w:r w:rsidR="008F7ACE" w:rsidRPr="00E10694">
              <w:rPr>
                <w:rFonts w:eastAsia="Times New Roman"/>
                <w:sz w:val="20"/>
                <w:szCs w:val="20"/>
                <w:lang w:eastAsia="en-GB" w:bidi="ne-NP"/>
              </w:rPr>
              <w:t xml:space="preserve"> </w:t>
            </w:r>
            <w:r w:rsidR="00456EC0" w:rsidRPr="00E10694">
              <w:rPr>
                <w:rFonts w:eastAsia="Times New Roman"/>
                <w:sz w:val="20"/>
                <w:szCs w:val="20"/>
                <w:lang w:eastAsia="en-GB" w:bidi="ne-NP"/>
              </w:rPr>
              <w:t xml:space="preserve">veicināta kvalitatīva nevalstisko organizāciju līdzdalība </w:t>
            </w:r>
            <w:r w:rsidR="00517F8C" w:rsidRPr="00E10694">
              <w:rPr>
                <w:rFonts w:eastAsia="Times New Roman"/>
                <w:sz w:val="20"/>
                <w:szCs w:val="20"/>
                <w:lang w:eastAsia="en-GB" w:bidi="ne-NP"/>
              </w:rPr>
              <w:t>(</w:t>
            </w:r>
            <w:r w:rsidR="00005E4D" w:rsidRPr="00E10694">
              <w:rPr>
                <w:rFonts w:eastAsia="Times New Roman"/>
                <w:sz w:val="20"/>
                <w:szCs w:val="20"/>
                <w:lang w:eastAsia="en-GB" w:bidi="ne-NP"/>
              </w:rPr>
              <w:t>jaunu iesaistes metožu izmantošana (</w:t>
            </w:r>
            <w:proofErr w:type="spellStart"/>
            <w:r w:rsidR="00005E4D" w:rsidRPr="00E10694">
              <w:rPr>
                <w:rFonts w:eastAsia="Times New Roman"/>
                <w:sz w:val="20"/>
                <w:szCs w:val="20"/>
                <w:lang w:eastAsia="en-GB" w:bidi="ne-NP"/>
              </w:rPr>
              <w:t>hakatoni</w:t>
            </w:r>
            <w:proofErr w:type="spellEnd"/>
            <w:r w:rsidR="000E3C47" w:rsidRPr="00E10694">
              <w:rPr>
                <w:rFonts w:eastAsia="Times New Roman"/>
                <w:sz w:val="20"/>
                <w:szCs w:val="20"/>
                <w:lang w:eastAsia="en-GB" w:bidi="ne-NP"/>
              </w:rPr>
              <w:t xml:space="preserve">, </w:t>
            </w:r>
            <w:proofErr w:type="spellStart"/>
            <w:r w:rsidR="00005E4D" w:rsidRPr="00E10694">
              <w:rPr>
                <w:rFonts w:eastAsia="Times New Roman"/>
                <w:sz w:val="20"/>
                <w:szCs w:val="20"/>
                <w:lang w:eastAsia="en-GB" w:bidi="ne-NP"/>
              </w:rPr>
              <w:t>domnīcas</w:t>
            </w:r>
            <w:proofErr w:type="spellEnd"/>
            <w:r w:rsidR="00005E4D" w:rsidRPr="00E10694">
              <w:rPr>
                <w:rFonts w:eastAsia="Times New Roman"/>
                <w:sz w:val="20"/>
                <w:szCs w:val="20"/>
                <w:lang w:eastAsia="en-GB" w:bidi="ne-NP"/>
              </w:rPr>
              <w:t>) pilsoniskās sabiedrības pārstāvjiem (NVO, sociālajiem partneriem) Kohēzijas politikas efektīvākai īstenošanai)</w:t>
            </w:r>
            <w:r w:rsidR="00932146" w:rsidRPr="00E10694">
              <w:rPr>
                <w:rFonts w:eastAsia="Times New Roman"/>
                <w:sz w:val="20"/>
                <w:szCs w:val="20"/>
                <w:lang w:eastAsia="en-GB" w:bidi="ne-NP"/>
              </w:rPr>
              <w:t>;</w:t>
            </w:r>
          </w:p>
          <w:p w14:paraId="4B6024D5" w14:textId="107183C6" w:rsidR="00531B09" w:rsidRPr="00E10694" w:rsidRDefault="00531B09" w:rsidP="008F7ACE">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6)</w:t>
            </w:r>
            <w:r w:rsidRPr="00E10694">
              <w:rPr>
                <w:rFonts w:eastAsia="Times New Roman"/>
                <w:sz w:val="20"/>
                <w:szCs w:val="20"/>
                <w:lang w:eastAsia="en-GB" w:bidi="ne-NP"/>
              </w:rPr>
              <w:t xml:space="preserve"> 5.2. Finansējuma saņēmēju spēju stiprināšana</w:t>
            </w:r>
            <w:r w:rsidR="000027F5" w:rsidRPr="00E10694">
              <w:rPr>
                <w:rFonts w:eastAsia="Times New Roman"/>
                <w:sz w:val="20"/>
                <w:szCs w:val="20"/>
                <w:lang w:eastAsia="en-GB" w:bidi="ne-NP"/>
              </w:rPr>
              <w:t xml:space="preserve"> (</w:t>
            </w:r>
            <w:r w:rsidR="008F7ACE" w:rsidRPr="00E10694">
              <w:rPr>
                <w:rFonts w:eastAsia="Times New Roman"/>
                <w:sz w:val="20"/>
                <w:szCs w:val="20"/>
                <w:lang w:eastAsia="en-GB" w:bidi="ne-NP"/>
              </w:rPr>
              <w:t>semināri finansējuma saņēmēju kapacitātes paaugstināšanai un aptaujas ES fondu projektu iesniedzēj</w:t>
            </w:r>
            <w:r w:rsidR="000E2BD7" w:rsidRPr="00E10694">
              <w:rPr>
                <w:rFonts w:eastAsia="Times New Roman"/>
                <w:sz w:val="20"/>
                <w:szCs w:val="20"/>
                <w:lang w:eastAsia="en-GB" w:bidi="ne-NP"/>
              </w:rPr>
              <w:t>u</w:t>
            </w:r>
            <w:r w:rsidR="008F7ACE" w:rsidRPr="00E10694">
              <w:rPr>
                <w:rFonts w:eastAsia="Times New Roman"/>
                <w:sz w:val="20"/>
                <w:szCs w:val="20"/>
                <w:lang w:eastAsia="en-GB" w:bidi="ne-NP"/>
              </w:rPr>
              <w:t xml:space="preserve"> un finansējuma saņēmēj</w:t>
            </w:r>
            <w:r w:rsidR="000E2BD7" w:rsidRPr="00E10694">
              <w:rPr>
                <w:rFonts w:eastAsia="Times New Roman"/>
                <w:sz w:val="20"/>
                <w:szCs w:val="20"/>
                <w:lang w:eastAsia="en-GB" w:bidi="ne-NP"/>
              </w:rPr>
              <w:t>u</w:t>
            </w:r>
            <w:r w:rsidR="008F7ACE" w:rsidRPr="00E10694">
              <w:rPr>
                <w:rFonts w:eastAsia="Times New Roman"/>
                <w:sz w:val="20"/>
                <w:szCs w:val="20"/>
                <w:lang w:eastAsia="en-GB" w:bidi="ne-NP"/>
              </w:rPr>
              <w:t xml:space="preserve"> apmierinātības noteikšanai par informācijas pieejamību un īstenotajiem atbalsta procesiem</w:t>
            </w:r>
            <w:r w:rsidR="000027F5" w:rsidRPr="00E10694">
              <w:rPr>
                <w:rFonts w:eastAsia="Times New Roman"/>
                <w:sz w:val="20"/>
                <w:szCs w:val="20"/>
                <w:lang w:eastAsia="en-GB" w:bidi="ne-NP"/>
              </w:rPr>
              <w:t>)</w:t>
            </w:r>
            <w:r w:rsidR="00932146" w:rsidRPr="00E10694">
              <w:rPr>
                <w:rFonts w:eastAsia="Times New Roman"/>
                <w:sz w:val="20"/>
                <w:szCs w:val="20"/>
                <w:lang w:eastAsia="en-GB" w:bidi="ne-NP"/>
              </w:rPr>
              <w:t>.</w:t>
            </w:r>
          </w:p>
          <w:p w14:paraId="4271EDD3" w14:textId="77FA2643" w:rsidR="00531B09" w:rsidRPr="00E10694" w:rsidRDefault="00531B09" w:rsidP="00A5367D">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II prioritāte</w:t>
            </w:r>
            <w:r w:rsidR="00FE382B" w:rsidRPr="00E10694">
              <w:rPr>
                <w:rFonts w:eastAsia="Times New Roman"/>
                <w:b/>
                <w:bCs/>
                <w:sz w:val="20"/>
                <w:szCs w:val="20"/>
                <w:lang w:eastAsia="en-GB" w:bidi="ne-NP"/>
              </w:rPr>
              <w:t>s</w:t>
            </w:r>
            <w:r w:rsidR="00AE3663" w:rsidRPr="00E10694">
              <w:rPr>
                <w:rFonts w:eastAsia="Times New Roman"/>
                <w:b/>
                <w:bCs/>
                <w:sz w:val="20"/>
                <w:szCs w:val="20"/>
                <w:lang w:eastAsia="en-GB" w:bidi="ne-NP"/>
              </w:rPr>
              <w:t xml:space="preserve"> </w:t>
            </w:r>
            <w:r w:rsidRPr="00E10694">
              <w:rPr>
                <w:rFonts w:eastAsia="Times New Roman"/>
                <w:b/>
                <w:bCs/>
                <w:sz w:val="20"/>
                <w:szCs w:val="20"/>
                <w:lang w:eastAsia="en-GB" w:bidi="ne-NP"/>
              </w:rPr>
              <w:t xml:space="preserve">“Cilvēkresursu attīstība un </w:t>
            </w:r>
            <w:proofErr w:type="spellStart"/>
            <w:r w:rsidRPr="00E10694">
              <w:rPr>
                <w:rFonts w:eastAsia="Times New Roman"/>
                <w:b/>
                <w:bCs/>
                <w:sz w:val="20"/>
                <w:szCs w:val="20"/>
                <w:lang w:eastAsia="en-GB" w:bidi="ne-NP"/>
              </w:rPr>
              <w:t>profesionalizācija</w:t>
            </w:r>
            <w:proofErr w:type="spellEnd"/>
            <w:r w:rsidRPr="00E10694">
              <w:rPr>
                <w:rFonts w:eastAsia="Times New Roman"/>
                <w:b/>
                <w:bCs/>
                <w:sz w:val="20"/>
                <w:szCs w:val="20"/>
                <w:lang w:eastAsia="en-GB" w:bidi="ne-NP"/>
              </w:rPr>
              <w:t>”</w:t>
            </w:r>
            <w:r w:rsidR="00FE382B" w:rsidRPr="00E10694">
              <w:rPr>
                <w:rFonts w:eastAsia="Times New Roman"/>
                <w:b/>
                <w:bCs/>
                <w:sz w:val="20"/>
                <w:szCs w:val="20"/>
                <w:lang w:eastAsia="en-GB" w:bidi="ne-NP"/>
              </w:rPr>
              <w:t xml:space="preserve"> </w:t>
            </w:r>
            <w:r w:rsidR="00FE382B" w:rsidRPr="00E10694">
              <w:rPr>
                <w:rFonts w:eastAsia="Times New Roman"/>
                <w:sz w:val="20"/>
                <w:szCs w:val="20"/>
                <w:lang w:eastAsia="en-GB" w:bidi="ne-NP"/>
              </w:rPr>
              <w:t xml:space="preserve">ietvaros </w:t>
            </w:r>
            <w:r w:rsidR="00A5367D" w:rsidRPr="00E10694">
              <w:rPr>
                <w:rFonts w:eastAsia="Times New Roman"/>
                <w:sz w:val="20"/>
                <w:szCs w:val="20"/>
                <w:lang w:eastAsia="en-GB" w:bidi="ne-NP"/>
              </w:rPr>
              <w:t xml:space="preserve">tiks veicināta Kohēzijas politikas ieviešanas aktivitātēs tieši un netieši iesaistīto cilvēkresursu prasmju attīstība un </w:t>
            </w:r>
            <w:proofErr w:type="spellStart"/>
            <w:r w:rsidR="00A5367D" w:rsidRPr="00E10694">
              <w:rPr>
                <w:rFonts w:eastAsia="Times New Roman"/>
                <w:sz w:val="20"/>
                <w:szCs w:val="20"/>
                <w:lang w:eastAsia="en-GB" w:bidi="ne-NP"/>
              </w:rPr>
              <w:t>profesionalizācija</w:t>
            </w:r>
            <w:proofErr w:type="spellEnd"/>
            <w:r w:rsidR="00A5367D" w:rsidRPr="00E10694">
              <w:rPr>
                <w:rFonts w:eastAsia="Times New Roman"/>
                <w:sz w:val="20"/>
                <w:szCs w:val="20"/>
                <w:lang w:eastAsia="en-GB" w:bidi="ne-NP"/>
              </w:rPr>
              <w:t>, izstrādājot profesionālo kompetenču standartus, uzlabojot publisko iepirkumu normatīvā regulējuma ievērošanu Kohēzijas politikas īstenošanā un pārņemot labo praksi Kohēzijas politikas fondu īstenošanā atbilstoši uzraudzības prasībām:</w:t>
            </w:r>
          </w:p>
          <w:p w14:paraId="2D0231C7" w14:textId="6DD90790"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7)</w:t>
            </w:r>
            <w:r w:rsidRPr="00E10694">
              <w:rPr>
                <w:rFonts w:eastAsia="Times New Roman"/>
                <w:sz w:val="20"/>
                <w:szCs w:val="20"/>
                <w:lang w:eastAsia="en-GB" w:bidi="ne-NP"/>
              </w:rPr>
              <w:t xml:space="preserve"> 6.2. Projektu vadībā iesaistīto darbinieku </w:t>
            </w:r>
            <w:proofErr w:type="spellStart"/>
            <w:r w:rsidRPr="00E10694">
              <w:rPr>
                <w:rFonts w:eastAsia="Times New Roman"/>
                <w:sz w:val="20"/>
                <w:szCs w:val="20"/>
                <w:lang w:eastAsia="en-GB" w:bidi="ne-NP"/>
              </w:rPr>
              <w:t>profesionalizācija</w:t>
            </w:r>
            <w:proofErr w:type="spellEnd"/>
            <w:r w:rsidRPr="00E10694">
              <w:rPr>
                <w:rFonts w:eastAsia="Times New Roman"/>
                <w:sz w:val="20"/>
                <w:szCs w:val="20"/>
                <w:lang w:eastAsia="en-GB" w:bidi="ne-NP"/>
              </w:rPr>
              <w:t xml:space="preserve"> (</w:t>
            </w:r>
            <w:r w:rsidR="00BD7258" w:rsidRPr="00E10694">
              <w:rPr>
                <w:rFonts w:eastAsia="Times New Roman"/>
                <w:sz w:val="20"/>
                <w:szCs w:val="20"/>
                <w:lang w:eastAsia="en-GB" w:bidi="ne-NP"/>
              </w:rPr>
              <w:t>projekta vadības prasmju standarta izstrāde</w:t>
            </w:r>
            <w:r w:rsidRPr="00E10694">
              <w:rPr>
                <w:rFonts w:eastAsia="Times New Roman"/>
                <w:sz w:val="20"/>
                <w:szCs w:val="20"/>
                <w:lang w:eastAsia="en-GB" w:bidi="ne-NP"/>
              </w:rPr>
              <w:t>)</w:t>
            </w:r>
            <w:r w:rsidR="00932146" w:rsidRPr="00E10694">
              <w:rPr>
                <w:rFonts w:eastAsia="Times New Roman"/>
                <w:sz w:val="20"/>
                <w:szCs w:val="20"/>
                <w:lang w:eastAsia="en-GB" w:bidi="ne-NP"/>
              </w:rPr>
              <w:t>;</w:t>
            </w:r>
          </w:p>
          <w:p w14:paraId="483C6174" w14:textId="3A0407D7"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8)</w:t>
            </w:r>
            <w:r w:rsidRPr="00E10694">
              <w:rPr>
                <w:rFonts w:eastAsia="Times New Roman"/>
                <w:sz w:val="20"/>
                <w:szCs w:val="20"/>
                <w:lang w:eastAsia="en-GB" w:bidi="ne-NP"/>
              </w:rPr>
              <w:t xml:space="preserve"> 6.3. Projektu vadībā iesaistīto darbinieku </w:t>
            </w:r>
            <w:proofErr w:type="spellStart"/>
            <w:r w:rsidRPr="00E10694">
              <w:rPr>
                <w:rFonts w:eastAsia="Times New Roman"/>
                <w:sz w:val="20"/>
                <w:szCs w:val="20"/>
                <w:lang w:eastAsia="en-GB" w:bidi="ne-NP"/>
              </w:rPr>
              <w:t>profesionalizācija</w:t>
            </w:r>
            <w:proofErr w:type="spellEnd"/>
            <w:r w:rsidRPr="00E10694">
              <w:rPr>
                <w:rFonts w:eastAsia="Times New Roman"/>
                <w:sz w:val="20"/>
                <w:szCs w:val="20"/>
                <w:lang w:eastAsia="en-GB" w:bidi="ne-NP"/>
              </w:rPr>
              <w:t xml:space="preserve"> (</w:t>
            </w:r>
            <w:r w:rsidR="00BD7258" w:rsidRPr="00E10694">
              <w:rPr>
                <w:rFonts w:eastAsia="Times New Roman"/>
                <w:sz w:val="20"/>
                <w:szCs w:val="20"/>
                <w:lang w:eastAsia="en-GB" w:bidi="ne-NP"/>
              </w:rPr>
              <w:t>projektu vadītāju apmācība</w:t>
            </w:r>
            <w:r w:rsidRPr="00E10694">
              <w:rPr>
                <w:rFonts w:eastAsia="Times New Roman"/>
                <w:sz w:val="20"/>
                <w:szCs w:val="20"/>
                <w:lang w:eastAsia="en-GB" w:bidi="ne-NP"/>
              </w:rPr>
              <w:t>)</w:t>
            </w:r>
            <w:r w:rsidR="00932146" w:rsidRPr="00E10694">
              <w:rPr>
                <w:rFonts w:eastAsia="Times New Roman"/>
                <w:sz w:val="20"/>
                <w:szCs w:val="20"/>
                <w:lang w:eastAsia="en-GB" w:bidi="ne-NP"/>
              </w:rPr>
              <w:t>;</w:t>
            </w:r>
          </w:p>
          <w:p w14:paraId="4F7387E4" w14:textId="0DA29D11"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9)</w:t>
            </w:r>
            <w:r w:rsidRPr="00E10694">
              <w:rPr>
                <w:rFonts w:eastAsia="Times New Roman"/>
                <w:sz w:val="20"/>
                <w:szCs w:val="20"/>
                <w:lang w:eastAsia="en-GB" w:bidi="ne-NP"/>
              </w:rPr>
              <w:t xml:space="preserve"> 6.6. </w:t>
            </w:r>
            <w:r w:rsidR="00D23C77" w:rsidRPr="00E10694">
              <w:rPr>
                <w:rFonts w:eastAsia="Times New Roman"/>
                <w:sz w:val="20"/>
                <w:szCs w:val="20"/>
                <w:lang w:eastAsia="en-GB" w:bidi="ne-NP"/>
              </w:rPr>
              <w:t xml:space="preserve">Kohēzijas politikas fondu vadības informācijas sistēmas </w:t>
            </w:r>
            <w:r w:rsidRPr="00E10694">
              <w:rPr>
                <w:rFonts w:eastAsia="Times New Roman"/>
                <w:sz w:val="20"/>
                <w:szCs w:val="20"/>
                <w:lang w:eastAsia="en-GB" w:bidi="ne-NP"/>
              </w:rPr>
              <w:t>Datu analīzes rīka lietotāju apmācība</w:t>
            </w:r>
            <w:r w:rsidR="00803899" w:rsidRPr="00E10694">
              <w:rPr>
                <w:rFonts w:eastAsia="Times New Roman"/>
                <w:sz w:val="20"/>
                <w:szCs w:val="20"/>
                <w:lang w:eastAsia="en-GB" w:bidi="ne-NP"/>
              </w:rPr>
              <w:t xml:space="preserve"> (</w:t>
            </w:r>
            <w:r w:rsidR="00932146" w:rsidRPr="00E10694">
              <w:rPr>
                <w:rFonts w:eastAsia="Times New Roman"/>
                <w:sz w:val="20"/>
                <w:szCs w:val="20"/>
                <w:lang w:eastAsia="en-GB" w:bidi="ne-NP"/>
              </w:rPr>
              <w:t>ap</w:t>
            </w:r>
            <w:r w:rsidR="00B76E63" w:rsidRPr="00E10694">
              <w:rPr>
                <w:rFonts w:eastAsia="Times New Roman"/>
                <w:sz w:val="20"/>
                <w:szCs w:val="20"/>
                <w:lang w:eastAsia="en-GB" w:bidi="ne-NP"/>
              </w:rPr>
              <w:t>mācības</w:t>
            </w:r>
            <w:r w:rsidR="00803899" w:rsidRPr="00E10694">
              <w:rPr>
                <w:rFonts w:eastAsia="Times New Roman"/>
                <w:sz w:val="20"/>
                <w:szCs w:val="20"/>
                <w:lang w:eastAsia="en-GB" w:bidi="ne-NP"/>
              </w:rPr>
              <w:t>)</w:t>
            </w:r>
            <w:r w:rsidR="00932146" w:rsidRPr="00E10694">
              <w:rPr>
                <w:rFonts w:eastAsia="Times New Roman"/>
                <w:sz w:val="20"/>
                <w:szCs w:val="20"/>
                <w:lang w:eastAsia="en-GB" w:bidi="ne-NP"/>
              </w:rPr>
              <w:t>;</w:t>
            </w:r>
          </w:p>
          <w:p w14:paraId="5AD12930" w14:textId="66E9E9EF"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w:t>
            </w:r>
            <w:r w:rsidR="00F45289" w:rsidRPr="00E10694">
              <w:rPr>
                <w:rFonts w:eastAsia="Times New Roman"/>
                <w:b/>
                <w:bCs/>
                <w:sz w:val="20"/>
                <w:szCs w:val="20"/>
                <w:lang w:eastAsia="en-GB" w:bidi="ne-NP"/>
              </w:rPr>
              <w:t>0</w:t>
            </w:r>
            <w:r w:rsidRPr="00E10694">
              <w:rPr>
                <w:rFonts w:eastAsia="Times New Roman"/>
                <w:b/>
                <w:bCs/>
                <w:sz w:val="20"/>
                <w:szCs w:val="20"/>
                <w:lang w:eastAsia="en-GB" w:bidi="ne-NP"/>
              </w:rPr>
              <w:t>)</w:t>
            </w:r>
            <w:r w:rsidRPr="00E10694">
              <w:rPr>
                <w:rFonts w:eastAsia="Times New Roman"/>
                <w:sz w:val="20"/>
                <w:szCs w:val="20"/>
                <w:lang w:eastAsia="en-GB" w:bidi="ne-NP"/>
              </w:rPr>
              <w:t xml:space="preserve"> 6.7. Iekšējā auditā iesaistīto darbinieku </w:t>
            </w:r>
            <w:proofErr w:type="spellStart"/>
            <w:r w:rsidRPr="00E10694">
              <w:rPr>
                <w:rFonts w:eastAsia="Times New Roman"/>
                <w:sz w:val="20"/>
                <w:szCs w:val="20"/>
                <w:lang w:eastAsia="en-GB" w:bidi="ne-NP"/>
              </w:rPr>
              <w:t>profesionalizācija</w:t>
            </w:r>
            <w:proofErr w:type="spellEnd"/>
            <w:r w:rsidRPr="00E10694">
              <w:rPr>
                <w:rFonts w:eastAsia="Times New Roman"/>
                <w:sz w:val="20"/>
                <w:szCs w:val="20"/>
                <w:lang w:eastAsia="en-GB" w:bidi="ne-NP"/>
              </w:rPr>
              <w:t>, lai uzlabotu Kohēzijas politikas pārvaldību un veicinātu projektu efektīvu un lietderīgu ieviešanu (</w:t>
            </w:r>
            <w:r w:rsidR="00BD7258" w:rsidRPr="00E10694">
              <w:rPr>
                <w:rFonts w:eastAsia="Times New Roman"/>
                <w:sz w:val="20"/>
                <w:szCs w:val="20"/>
                <w:lang w:eastAsia="en-GB" w:bidi="ne-NP"/>
              </w:rPr>
              <w:t>iekšējo auditoru apmācības</w:t>
            </w:r>
            <w:r w:rsidRPr="00E10694">
              <w:rPr>
                <w:rFonts w:eastAsia="Times New Roman"/>
                <w:sz w:val="20"/>
                <w:szCs w:val="20"/>
                <w:lang w:eastAsia="en-GB" w:bidi="ne-NP"/>
              </w:rPr>
              <w:t>)</w:t>
            </w:r>
            <w:r w:rsidR="00932146" w:rsidRPr="00E10694">
              <w:rPr>
                <w:rFonts w:eastAsia="Times New Roman"/>
                <w:sz w:val="20"/>
                <w:szCs w:val="20"/>
                <w:lang w:eastAsia="en-GB" w:bidi="ne-NP"/>
              </w:rPr>
              <w:t>;</w:t>
            </w:r>
          </w:p>
          <w:p w14:paraId="02476121" w14:textId="612ACA30" w:rsidR="0066472C" w:rsidRPr="00E10694" w:rsidRDefault="00531B09" w:rsidP="0066472C">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w:t>
            </w:r>
            <w:r w:rsidR="009E0739" w:rsidRPr="00E10694">
              <w:rPr>
                <w:rFonts w:eastAsia="Times New Roman"/>
                <w:b/>
                <w:bCs/>
                <w:sz w:val="20"/>
                <w:szCs w:val="20"/>
                <w:lang w:eastAsia="en-GB" w:bidi="ne-NP"/>
              </w:rPr>
              <w:t>1</w:t>
            </w:r>
            <w:r w:rsidRPr="00E10694">
              <w:rPr>
                <w:rFonts w:eastAsia="Times New Roman"/>
                <w:b/>
                <w:bCs/>
                <w:sz w:val="20"/>
                <w:szCs w:val="20"/>
                <w:lang w:eastAsia="en-GB" w:bidi="ne-NP"/>
              </w:rPr>
              <w:t>)</w:t>
            </w:r>
            <w:r w:rsidRPr="00E10694">
              <w:rPr>
                <w:rFonts w:eastAsia="Times New Roman"/>
                <w:sz w:val="20"/>
                <w:szCs w:val="20"/>
                <w:lang w:eastAsia="en-GB" w:bidi="ne-NP"/>
              </w:rPr>
              <w:t xml:space="preserve"> 7.1.</w:t>
            </w:r>
            <w:r w:rsidR="00456EC0" w:rsidRPr="00E10694">
              <w:rPr>
                <w:rFonts w:eastAsia="Times New Roman"/>
                <w:sz w:val="20"/>
                <w:szCs w:val="20"/>
                <w:lang w:eastAsia="en-GB" w:bidi="ne-NP"/>
              </w:rPr>
              <w:t xml:space="preserve"> </w:t>
            </w:r>
            <w:r w:rsidR="00A2115C" w:rsidRPr="00E10694">
              <w:rPr>
                <w:rFonts w:eastAsia="Times New Roman"/>
                <w:sz w:val="20"/>
                <w:szCs w:val="20"/>
                <w:lang w:eastAsia="en-GB" w:bidi="ne-NP"/>
              </w:rPr>
              <w:t>Veicināta p</w:t>
            </w:r>
            <w:r w:rsidRPr="00E10694">
              <w:rPr>
                <w:rFonts w:eastAsia="Times New Roman"/>
                <w:sz w:val="20"/>
                <w:szCs w:val="20"/>
                <w:lang w:eastAsia="en-GB" w:bidi="ne-NP"/>
              </w:rPr>
              <w:t>ublisk</w:t>
            </w:r>
            <w:r w:rsidR="00456EC0" w:rsidRPr="00E10694">
              <w:rPr>
                <w:rFonts w:eastAsia="Times New Roman"/>
                <w:sz w:val="20"/>
                <w:szCs w:val="20"/>
                <w:lang w:eastAsia="en-GB" w:bidi="ne-NP"/>
              </w:rPr>
              <w:t>ā</w:t>
            </w:r>
            <w:r w:rsidRPr="00E10694">
              <w:rPr>
                <w:rFonts w:eastAsia="Times New Roman"/>
                <w:sz w:val="20"/>
                <w:szCs w:val="20"/>
                <w:lang w:eastAsia="en-GB" w:bidi="ne-NP"/>
              </w:rPr>
              <w:t xml:space="preserve"> iepirkum</w:t>
            </w:r>
            <w:r w:rsidR="00456EC0" w:rsidRPr="00E10694">
              <w:rPr>
                <w:rFonts w:eastAsia="Times New Roman"/>
                <w:sz w:val="20"/>
                <w:szCs w:val="20"/>
                <w:lang w:eastAsia="en-GB" w:bidi="ne-NP"/>
              </w:rPr>
              <w:t>a</w:t>
            </w:r>
            <w:r w:rsidRPr="00E10694">
              <w:rPr>
                <w:rFonts w:eastAsia="Times New Roman"/>
                <w:sz w:val="20"/>
                <w:szCs w:val="20"/>
                <w:lang w:eastAsia="en-GB" w:bidi="ne-NP"/>
              </w:rPr>
              <w:t xml:space="preserve"> normatīvā regulējuma ievērošan</w:t>
            </w:r>
            <w:r w:rsidR="00456EC0" w:rsidRPr="00E10694">
              <w:rPr>
                <w:rFonts w:eastAsia="Times New Roman"/>
                <w:sz w:val="20"/>
                <w:szCs w:val="20"/>
                <w:lang w:eastAsia="en-GB" w:bidi="ne-NP"/>
              </w:rPr>
              <w:t>a</w:t>
            </w:r>
            <w:r w:rsidRPr="00E10694">
              <w:rPr>
                <w:rFonts w:eastAsia="Times New Roman"/>
                <w:sz w:val="20"/>
                <w:szCs w:val="20"/>
                <w:lang w:eastAsia="en-GB" w:bidi="ne-NP"/>
              </w:rPr>
              <w:t xml:space="preserve"> Kohēzijas politikas īstenošanā </w:t>
            </w:r>
            <w:r w:rsidR="0066472C" w:rsidRPr="00E10694">
              <w:rPr>
                <w:rFonts w:eastAsia="Times New Roman"/>
                <w:sz w:val="20"/>
                <w:szCs w:val="20"/>
                <w:lang w:eastAsia="en-GB" w:bidi="ne-NP"/>
              </w:rPr>
              <w:t>(vadības un kontroles sistēmas institūciju pārstāvju un valsts pārvaldes darbinieku, kuri tieši vai netieši iesaistīti Kohēzijas politikas mērķu sasniegšanā, apmācības);</w:t>
            </w:r>
          </w:p>
          <w:p w14:paraId="75334BC1" w14:textId="68661CDC"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w:t>
            </w:r>
            <w:r w:rsidR="009E0739" w:rsidRPr="00E10694">
              <w:rPr>
                <w:rFonts w:eastAsia="Times New Roman"/>
                <w:b/>
                <w:bCs/>
                <w:sz w:val="20"/>
                <w:szCs w:val="20"/>
                <w:lang w:eastAsia="en-GB" w:bidi="ne-NP"/>
              </w:rPr>
              <w:t>2</w:t>
            </w:r>
            <w:r w:rsidRPr="00E10694">
              <w:rPr>
                <w:rFonts w:eastAsia="Times New Roman"/>
                <w:b/>
                <w:bCs/>
                <w:sz w:val="20"/>
                <w:szCs w:val="20"/>
                <w:lang w:eastAsia="en-GB" w:bidi="ne-NP"/>
              </w:rPr>
              <w:t>)</w:t>
            </w:r>
            <w:r w:rsidRPr="00E10694">
              <w:rPr>
                <w:rFonts w:eastAsia="Times New Roman"/>
                <w:sz w:val="20"/>
                <w:szCs w:val="20"/>
                <w:lang w:eastAsia="en-GB" w:bidi="ne-NP"/>
              </w:rPr>
              <w:t xml:space="preserve"> 7.2. </w:t>
            </w:r>
            <w:r w:rsidR="00456EC0" w:rsidRPr="00E10694">
              <w:rPr>
                <w:rFonts w:eastAsia="Times New Roman"/>
                <w:sz w:val="20"/>
                <w:szCs w:val="20"/>
                <w:lang w:eastAsia="en-GB" w:bidi="ne-NP"/>
              </w:rPr>
              <w:t>Veicināta p</w:t>
            </w:r>
            <w:r w:rsidRPr="00E10694">
              <w:rPr>
                <w:rFonts w:eastAsia="Times New Roman"/>
                <w:sz w:val="20"/>
                <w:szCs w:val="20"/>
                <w:lang w:eastAsia="en-GB" w:bidi="ne-NP"/>
              </w:rPr>
              <w:t>ublisk</w:t>
            </w:r>
            <w:r w:rsidR="00456EC0" w:rsidRPr="00E10694">
              <w:rPr>
                <w:rFonts w:eastAsia="Times New Roman"/>
                <w:sz w:val="20"/>
                <w:szCs w:val="20"/>
                <w:lang w:eastAsia="en-GB" w:bidi="ne-NP"/>
              </w:rPr>
              <w:t>ā</w:t>
            </w:r>
            <w:r w:rsidRPr="00E10694">
              <w:rPr>
                <w:rFonts w:eastAsia="Times New Roman"/>
                <w:sz w:val="20"/>
                <w:szCs w:val="20"/>
                <w:lang w:eastAsia="en-GB" w:bidi="ne-NP"/>
              </w:rPr>
              <w:t xml:space="preserve"> iepirkum</w:t>
            </w:r>
            <w:r w:rsidR="00456EC0" w:rsidRPr="00E10694">
              <w:rPr>
                <w:rFonts w:eastAsia="Times New Roman"/>
                <w:sz w:val="20"/>
                <w:szCs w:val="20"/>
                <w:lang w:eastAsia="en-GB" w:bidi="ne-NP"/>
              </w:rPr>
              <w:t>a</w:t>
            </w:r>
            <w:r w:rsidRPr="00E10694">
              <w:rPr>
                <w:rFonts w:eastAsia="Times New Roman"/>
                <w:sz w:val="20"/>
                <w:szCs w:val="20"/>
                <w:lang w:eastAsia="en-GB" w:bidi="ne-NP"/>
              </w:rPr>
              <w:t xml:space="preserve"> normatīvā regulējuma ievērošan</w:t>
            </w:r>
            <w:r w:rsidR="00456EC0" w:rsidRPr="00E10694">
              <w:rPr>
                <w:rFonts w:eastAsia="Times New Roman"/>
                <w:sz w:val="20"/>
                <w:szCs w:val="20"/>
                <w:lang w:eastAsia="en-GB" w:bidi="ne-NP"/>
              </w:rPr>
              <w:t>a</w:t>
            </w:r>
            <w:r w:rsidRPr="00E10694">
              <w:rPr>
                <w:rFonts w:eastAsia="Times New Roman"/>
                <w:sz w:val="20"/>
                <w:szCs w:val="20"/>
                <w:lang w:eastAsia="en-GB" w:bidi="ne-NP"/>
              </w:rPr>
              <w:t xml:space="preserve"> Kohēzijas politikas īstenošanām</w:t>
            </w:r>
            <w:r w:rsidR="00C5355B" w:rsidRPr="00E10694">
              <w:rPr>
                <w:rFonts w:eastAsia="Times New Roman"/>
                <w:sz w:val="20"/>
                <w:szCs w:val="20"/>
                <w:lang w:eastAsia="en-GB" w:bidi="ne-NP"/>
              </w:rPr>
              <w:t xml:space="preserve"> </w:t>
            </w:r>
            <w:r w:rsidRPr="00E10694">
              <w:rPr>
                <w:rFonts w:eastAsia="Times New Roman"/>
                <w:sz w:val="20"/>
                <w:szCs w:val="20"/>
                <w:lang w:eastAsia="en-GB" w:bidi="ne-NP"/>
              </w:rPr>
              <w:t>(</w:t>
            </w:r>
            <w:r w:rsidR="00441FC6" w:rsidRPr="00E10694">
              <w:rPr>
                <w:rFonts w:eastAsia="Times New Roman"/>
                <w:sz w:val="20"/>
                <w:szCs w:val="20"/>
                <w:lang w:eastAsia="en-GB" w:bidi="ne-NP"/>
              </w:rPr>
              <w:t xml:space="preserve">e-kursa izstrāde; </w:t>
            </w:r>
            <w:r w:rsidR="005103C8" w:rsidRPr="00E10694">
              <w:rPr>
                <w:rFonts w:eastAsia="Times New Roman"/>
                <w:sz w:val="20"/>
                <w:szCs w:val="20"/>
                <w:lang w:eastAsia="en-GB" w:bidi="ne-NP"/>
              </w:rPr>
              <w:t>finansējuma saņēmēju apmācības</w:t>
            </w:r>
            <w:r w:rsidRPr="00E10694">
              <w:rPr>
                <w:rFonts w:eastAsia="Times New Roman"/>
                <w:sz w:val="20"/>
                <w:szCs w:val="20"/>
                <w:lang w:eastAsia="en-GB" w:bidi="ne-NP"/>
              </w:rPr>
              <w:t>)</w:t>
            </w:r>
            <w:r w:rsidR="0066472C" w:rsidRPr="00E10694">
              <w:rPr>
                <w:rFonts w:eastAsia="Times New Roman"/>
                <w:sz w:val="20"/>
                <w:szCs w:val="20"/>
                <w:lang w:eastAsia="en-GB" w:bidi="ne-NP"/>
              </w:rPr>
              <w:t>;</w:t>
            </w:r>
          </w:p>
          <w:p w14:paraId="4BEE277E" w14:textId="48B8C90B"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w:t>
            </w:r>
            <w:r w:rsidR="009E0739" w:rsidRPr="00E10694">
              <w:rPr>
                <w:rFonts w:eastAsia="Times New Roman"/>
                <w:b/>
                <w:bCs/>
                <w:sz w:val="20"/>
                <w:szCs w:val="20"/>
                <w:lang w:eastAsia="en-GB" w:bidi="ne-NP"/>
              </w:rPr>
              <w:t>3</w:t>
            </w:r>
            <w:r w:rsidRPr="00E10694">
              <w:rPr>
                <w:rFonts w:eastAsia="Times New Roman"/>
                <w:b/>
                <w:bCs/>
                <w:sz w:val="20"/>
                <w:szCs w:val="20"/>
                <w:lang w:eastAsia="en-GB" w:bidi="ne-NP"/>
              </w:rPr>
              <w:t>)</w:t>
            </w:r>
            <w:r w:rsidRPr="00E10694">
              <w:rPr>
                <w:rFonts w:eastAsia="Times New Roman"/>
                <w:sz w:val="20"/>
                <w:szCs w:val="20"/>
                <w:lang w:eastAsia="en-GB" w:bidi="ne-NP"/>
              </w:rPr>
              <w:t xml:space="preserve"> 7.3.a </w:t>
            </w:r>
            <w:r w:rsidR="00456EC0" w:rsidRPr="00E10694">
              <w:rPr>
                <w:rFonts w:eastAsia="Times New Roman"/>
                <w:sz w:val="20"/>
                <w:szCs w:val="20"/>
                <w:lang w:eastAsia="en-GB" w:bidi="ne-NP"/>
              </w:rPr>
              <w:t>Veicināta v</w:t>
            </w:r>
            <w:r w:rsidRPr="00E10694">
              <w:rPr>
                <w:rFonts w:eastAsia="Times New Roman"/>
                <w:sz w:val="20"/>
                <w:szCs w:val="20"/>
                <w:lang w:eastAsia="en-GB" w:bidi="ne-NP"/>
              </w:rPr>
              <w:t>alsts atbalsta noteikumu ievērošan</w:t>
            </w:r>
            <w:r w:rsidR="00456EC0" w:rsidRPr="00E10694">
              <w:rPr>
                <w:rFonts w:eastAsia="Times New Roman"/>
                <w:sz w:val="20"/>
                <w:szCs w:val="20"/>
                <w:lang w:eastAsia="en-GB" w:bidi="ne-NP"/>
              </w:rPr>
              <w:t>a</w:t>
            </w:r>
            <w:r w:rsidRPr="00E10694">
              <w:rPr>
                <w:rFonts w:eastAsia="Times New Roman"/>
                <w:sz w:val="20"/>
                <w:szCs w:val="20"/>
                <w:lang w:eastAsia="en-GB" w:bidi="ne-NP"/>
              </w:rPr>
              <w:t xml:space="preserve"> Kohēzijas politikas īstenošanā (</w:t>
            </w:r>
            <w:r w:rsidR="003A6AE8" w:rsidRPr="00E10694">
              <w:rPr>
                <w:rFonts w:eastAsia="Times New Roman"/>
                <w:sz w:val="20"/>
                <w:szCs w:val="20"/>
                <w:lang w:eastAsia="en-GB" w:bidi="ne-NP"/>
              </w:rPr>
              <w:t>e-kursa izstrāde</w:t>
            </w:r>
            <w:r w:rsidRPr="00E10694">
              <w:rPr>
                <w:rFonts w:eastAsia="Times New Roman"/>
                <w:sz w:val="20"/>
                <w:szCs w:val="20"/>
                <w:lang w:eastAsia="en-GB" w:bidi="ne-NP"/>
              </w:rPr>
              <w:t>)</w:t>
            </w:r>
            <w:r w:rsidR="0066472C" w:rsidRPr="00E10694">
              <w:rPr>
                <w:rFonts w:eastAsia="Times New Roman"/>
                <w:sz w:val="20"/>
                <w:szCs w:val="20"/>
                <w:lang w:eastAsia="en-GB" w:bidi="ne-NP"/>
              </w:rPr>
              <w:t>;</w:t>
            </w:r>
          </w:p>
          <w:p w14:paraId="0A6DFAB2" w14:textId="146F6D2E" w:rsidR="00531B09" w:rsidRPr="00E10694" w:rsidRDefault="00531B09" w:rsidP="00932146">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w:t>
            </w:r>
            <w:r w:rsidR="009E0739" w:rsidRPr="00E10694">
              <w:rPr>
                <w:rFonts w:eastAsia="Times New Roman"/>
                <w:b/>
                <w:bCs/>
                <w:sz w:val="20"/>
                <w:szCs w:val="20"/>
                <w:lang w:eastAsia="en-GB" w:bidi="ne-NP"/>
              </w:rPr>
              <w:t>4</w:t>
            </w:r>
            <w:r w:rsidRPr="00E10694">
              <w:rPr>
                <w:rFonts w:eastAsia="Times New Roman"/>
                <w:b/>
                <w:bCs/>
                <w:sz w:val="20"/>
                <w:szCs w:val="20"/>
                <w:lang w:eastAsia="en-GB" w:bidi="ne-NP"/>
              </w:rPr>
              <w:t>)</w:t>
            </w:r>
            <w:r w:rsidRPr="00E10694">
              <w:rPr>
                <w:rFonts w:eastAsia="Times New Roman"/>
                <w:sz w:val="20"/>
                <w:szCs w:val="20"/>
                <w:lang w:eastAsia="en-GB" w:bidi="ne-NP"/>
              </w:rPr>
              <w:t xml:space="preserve"> 7.3.b </w:t>
            </w:r>
            <w:r w:rsidR="00456EC0" w:rsidRPr="00E10694">
              <w:rPr>
                <w:rFonts w:eastAsia="Times New Roman"/>
                <w:sz w:val="20"/>
                <w:szCs w:val="20"/>
                <w:lang w:eastAsia="en-GB" w:bidi="ne-NP"/>
              </w:rPr>
              <w:t>Veicināta v</w:t>
            </w:r>
            <w:r w:rsidRPr="00E10694">
              <w:rPr>
                <w:rFonts w:eastAsia="Times New Roman"/>
                <w:sz w:val="20"/>
                <w:szCs w:val="20"/>
                <w:lang w:eastAsia="en-GB" w:bidi="ne-NP"/>
              </w:rPr>
              <w:t>alsts atbalsta noteikumu ievērošan</w:t>
            </w:r>
            <w:r w:rsidR="00456EC0" w:rsidRPr="00E10694">
              <w:rPr>
                <w:rFonts w:eastAsia="Times New Roman"/>
                <w:sz w:val="20"/>
                <w:szCs w:val="20"/>
                <w:lang w:eastAsia="en-GB" w:bidi="ne-NP"/>
              </w:rPr>
              <w:t>a</w:t>
            </w:r>
            <w:r w:rsidRPr="00E10694">
              <w:rPr>
                <w:rFonts w:eastAsia="Times New Roman"/>
                <w:sz w:val="20"/>
                <w:szCs w:val="20"/>
                <w:lang w:eastAsia="en-GB" w:bidi="ne-NP"/>
              </w:rPr>
              <w:t xml:space="preserve"> Kohēzijas politikas īstenošanā (</w:t>
            </w:r>
            <w:r w:rsidR="00B56C78" w:rsidRPr="00E10694">
              <w:rPr>
                <w:rFonts w:eastAsia="Times New Roman"/>
                <w:sz w:val="20"/>
                <w:szCs w:val="20"/>
                <w:lang w:eastAsia="en-GB" w:bidi="ne-NP"/>
              </w:rPr>
              <w:t xml:space="preserve">vadības un kontroles sistēmas institūciju pārstāvju un </w:t>
            </w:r>
            <w:r w:rsidR="00932146" w:rsidRPr="00E10694">
              <w:rPr>
                <w:rFonts w:eastAsia="Times New Roman"/>
                <w:sz w:val="20"/>
                <w:szCs w:val="20"/>
                <w:lang w:eastAsia="en-GB" w:bidi="ne-NP"/>
              </w:rPr>
              <w:t xml:space="preserve">valsts pārvaldes darbinieku, kuri tieši vai netieši iesaistīti Kohēzijas politikas mērķu sasniegšanā, </w:t>
            </w:r>
            <w:r w:rsidR="006B305D" w:rsidRPr="00E10694">
              <w:rPr>
                <w:rFonts w:eastAsia="Times New Roman"/>
                <w:sz w:val="20"/>
                <w:szCs w:val="20"/>
                <w:lang w:eastAsia="en-GB" w:bidi="ne-NP"/>
              </w:rPr>
              <w:t>apmācības</w:t>
            </w:r>
            <w:r w:rsidRPr="00E10694">
              <w:rPr>
                <w:rFonts w:eastAsia="Times New Roman"/>
                <w:sz w:val="20"/>
                <w:szCs w:val="20"/>
                <w:lang w:eastAsia="en-GB" w:bidi="ne-NP"/>
              </w:rPr>
              <w:t>)</w:t>
            </w:r>
            <w:r w:rsidR="0066472C" w:rsidRPr="00E10694">
              <w:rPr>
                <w:rFonts w:eastAsia="Times New Roman"/>
                <w:sz w:val="20"/>
                <w:szCs w:val="20"/>
                <w:lang w:eastAsia="en-GB" w:bidi="ne-NP"/>
              </w:rPr>
              <w:t>;</w:t>
            </w:r>
          </w:p>
          <w:p w14:paraId="3837440C" w14:textId="5342DF6D"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w:t>
            </w:r>
            <w:r w:rsidR="009E0739" w:rsidRPr="00E10694">
              <w:rPr>
                <w:rFonts w:eastAsia="Times New Roman"/>
                <w:b/>
                <w:bCs/>
                <w:sz w:val="20"/>
                <w:szCs w:val="20"/>
                <w:lang w:eastAsia="en-GB" w:bidi="ne-NP"/>
              </w:rPr>
              <w:t>5</w:t>
            </w:r>
            <w:r w:rsidRPr="00E10694">
              <w:rPr>
                <w:rFonts w:eastAsia="Times New Roman"/>
                <w:b/>
                <w:bCs/>
                <w:sz w:val="20"/>
                <w:szCs w:val="20"/>
                <w:lang w:eastAsia="en-GB" w:bidi="ne-NP"/>
              </w:rPr>
              <w:t>)</w:t>
            </w:r>
            <w:r w:rsidRPr="00E10694">
              <w:rPr>
                <w:rFonts w:eastAsia="Times New Roman"/>
                <w:sz w:val="20"/>
                <w:szCs w:val="20"/>
                <w:lang w:eastAsia="en-GB" w:bidi="ne-NP"/>
              </w:rPr>
              <w:t xml:space="preserve"> 7.4. </w:t>
            </w:r>
            <w:r w:rsidR="00A2115C" w:rsidRPr="00E10694">
              <w:rPr>
                <w:rFonts w:eastAsia="Times New Roman"/>
                <w:sz w:val="20"/>
                <w:szCs w:val="20"/>
                <w:lang w:eastAsia="en-GB" w:bidi="ne-NP"/>
              </w:rPr>
              <w:t>Veicināta v</w:t>
            </w:r>
            <w:r w:rsidRPr="00E10694">
              <w:rPr>
                <w:rFonts w:eastAsia="Times New Roman"/>
                <w:sz w:val="20"/>
                <w:szCs w:val="20"/>
                <w:lang w:eastAsia="en-GB" w:bidi="ne-NP"/>
              </w:rPr>
              <w:t>alsts atbalsta noteikumu ievērošan</w:t>
            </w:r>
            <w:r w:rsidR="00A2115C" w:rsidRPr="00E10694">
              <w:rPr>
                <w:rFonts w:eastAsia="Times New Roman"/>
                <w:sz w:val="20"/>
                <w:szCs w:val="20"/>
                <w:lang w:eastAsia="en-GB" w:bidi="ne-NP"/>
              </w:rPr>
              <w:t>a</w:t>
            </w:r>
            <w:r w:rsidRPr="00E10694">
              <w:rPr>
                <w:rFonts w:eastAsia="Times New Roman"/>
                <w:sz w:val="20"/>
                <w:szCs w:val="20"/>
                <w:lang w:eastAsia="en-GB" w:bidi="ne-NP"/>
              </w:rPr>
              <w:t xml:space="preserve"> Kohēzijas politikas īstenošanā (</w:t>
            </w:r>
            <w:r w:rsidR="006B305D" w:rsidRPr="00E10694">
              <w:rPr>
                <w:rFonts w:eastAsia="Times New Roman"/>
                <w:sz w:val="20"/>
                <w:szCs w:val="20"/>
                <w:lang w:eastAsia="en-GB" w:bidi="ne-NP"/>
              </w:rPr>
              <w:t>finansējuma saņēmēju apmācības</w:t>
            </w:r>
            <w:r w:rsidRPr="00E10694">
              <w:rPr>
                <w:rFonts w:eastAsia="Times New Roman"/>
                <w:sz w:val="20"/>
                <w:szCs w:val="20"/>
                <w:lang w:eastAsia="en-GB" w:bidi="ne-NP"/>
              </w:rPr>
              <w:t>)</w:t>
            </w:r>
            <w:r w:rsidR="0066472C" w:rsidRPr="00E10694">
              <w:rPr>
                <w:rFonts w:eastAsia="Times New Roman"/>
                <w:sz w:val="20"/>
                <w:szCs w:val="20"/>
                <w:lang w:eastAsia="en-GB" w:bidi="ne-NP"/>
              </w:rPr>
              <w:t>;</w:t>
            </w:r>
          </w:p>
          <w:p w14:paraId="3B3A61D7" w14:textId="5FAAF0DE"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w:t>
            </w:r>
            <w:r w:rsidR="009E0739" w:rsidRPr="00E10694">
              <w:rPr>
                <w:rFonts w:eastAsia="Times New Roman"/>
                <w:b/>
                <w:bCs/>
                <w:sz w:val="20"/>
                <w:szCs w:val="20"/>
                <w:lang w:eastAsia="en-GB" w:bidi="ne-NP"/>
              </w:rPr>
              <w:t>6</w:t>
            </w:r>
            <w:r w:rsidRPr="00E10694">
              <w:rPr>
                <w:rFonts w:eastAsia="Times New Roman"/>
                <w:b/>
                <w:bCs/>
                <w:sz w:val="20"/>
                <w:szCs w:val="20"/>
                <w:lang w:eastAsia="en-GB" w:bidi="ne-NP"/>
              </w:rPr>
              <w:t>)</w:t>
            </w:r>
            <w:r w:rsidRPr="00E10694">
              <w:rPr>
                <w:rFonts w:eastAsia="Times New Roman"/>
                <w:sz w:val="20"/>
                <w:szCs w:val="20"/>
                <w:lang w:eastAsia="en-GB" w:bidi="ne-NP"/>
              </w:rPr>
              <w:t xml:space="preserve"> 7.5.a Efektīvi pasākumi interešu konfliktu, krāpšanas un korupcijas novēršanai Kohēzijas politikas īstenošanā (</w:t>
            </w:r>
            <w:r w:rsidR="003A6AE8" w:rsidRPr="00E10694">
              <w:rPr>
                <w:rFonts w:eastAsia="Times New Roman"/>
                <w:sz w:val="20"/>
                <w:szCs w:val="20"/>
                <w:lang w:eastAsia="en-GB" w:bidi="ne-NP"/>
              </w:rPr>
              <w:t>e-kursa izstrāde</w:t>
            </w:r>
            <w:r w:rsidR="008A2BB0" w:rsidRPr="00E10694">
              <w:rPr>
                <w:rFonts w:eastAsia="Times New Roman"/>
                <w:sz w:val="20"/>
                <w:szCs w:val="20"/>
                <w:lang w:eastAsia="en-GB" w:bidi="ne-NP"/>
              </w:rPr>
              <w:t>)</w:t>
            </w:r>
            <w:r w:rsidR="0066472C" w:rsidRPr="00E10694">
              <w:rPr>
                <w:rFonts w:eastAsia="Times New Roman"/>
                <w:sz w:val="20"/>
                <w:szCs w:val="20"/>
                <w:lang w:eastAsia="en-GB" w:bidi="ne-NP"/>
              </w:rPr>
              <w:t>;</w:t>
            </w:r>
          </w:p>
          <w:p w14:paraId="49C85B02" w14:textId="3BE74FE9"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w:t>
            </w:r>
            <w:r w:rsidR="009E0739" w:rsidRPr="00E10694">
              <w:rPr>
                <w:rFonts w:eastAsia="Times New Roman"/>
                <w:b/>
                <w:bCs/>
                <w:sz w:val="20"/>
                <w:szCs w:val="20"/>
                <w:lang w:eastAsia="en-GB" w:bidi="ne-NP"/>
              </w:rPr>
              <w:t>7</w:t>
            </w:r>
            <w:r w:rsidRPr="00E10694">
              <w:rPr>
                <w:rFonts w:eastAsia="Times New Roman"/>
                <w:b/>
                <w:bCs/>
                <w:sz w:val="20"/>
                <w:szCs w:val="20"/>
                <w:lang w:eastAsia="en-GB" w:bidi="ne-NP"/>
              </w:rPr>
              <w:t>)</w:t>
            </w:r>
            <w:r w:rsidRPr="00E10694">
              <w:rPr>
                <w:rFonts w:eastAsia="Times New Roman"/>
                <w:sz w:val="20"/>
                <w:szCs w:val="20"/>
                <w:lang w:eastAsia="en-GB" w:bidi="ne-NP"/>
              </w:rPr>
              <w:t xml:space="preserve"> 7.5.b Efektīvi pasākumi interešu konfliktu, krāpšanas un korupcijas novēršanai Kohēzijas politikas īstenošanā (</w:t>
            </w:r>
            <w:r w:rsidR="006B305D" w:rsidRPr="00E10694">
              <w:rPr>
                <w:rFonts w:eastAsia="Times New Roman"/>
                <w:sz w:val="20"/>
                <w:szCs w:val="20"/>
                <w:lang w:eastAsia="en-GB" w:bidi="ne-NP"/>
              </w:rPr>
              <w:t>finansējuma saņēmēju ap</w:t>
            </w:r>
            <w:r w:rsidRPr="00E10694">
              <w:rPr>
                <w:rFonts w:eastAsia="Times New Roman"/>
                <w:sz w:val="20"/>
                <w:szCs w:val="20"/>
                <w:lang w:eastAsia="en-GB" w:bidi="ne-NP"/>
              </w:rPr>
              <w:t>mācība</w:t>
            </w:r>
            <w:r w:rsidR="00A40E80" w:rsidRPr="00E10694">
              <w:rPr>
                <w:rFonts w:eastAsia="Times New Roman"/>
                <w:sz w:val="20"/>
                <w:szCs w:val="20"/>
                <w:lang w:eastAsia="en-GB" w:bidi="ne-NP"/>
              </w:rPr>
              <w:t>s</w:t>
            </w:r>
            <w:r w:rsidRPr="00E10694">
              <w:rPr>
                <w:rFonts w:eastAsia="Times New Roman"/>
                <w:sz w:val="20"/>
                <w:szCs w:val="20"/>
                <w:lang w:eastAsia="en-GB" w:bidi="ne-NP"/>
              </w:rPr>
              <w:t>)</w:t>
            </w:r>
            <w:r w:rsidR="0066472C" w:rsidRPr="00E10694">
              <w:rPr>
                <w:rFonts w:eastAsia="Times New Roman"/>
                <w:sz w:val="20"/>
                <w:szCs w:val="20"/>
                <w:lang w:eastAsia="en-GB" w:bidi="ne-NP"/>
              </w:rPr>
              <w:t>;</w:t>
            </w:r>
          </w:p>
          <w:p w14:paraId="1D994B37" w14:textId="33F180A0" w:rsidR="00B56C78" w:rsidRPr="00E10694" w:rsidRDefault="00531B09" w:rsidP="00B56C78">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w:t>
            </w:r>
            <w:r w:rsidR="009E0739" w:rsidRPr="00E10694">
              <w:rPr>
                <w:rFonts w:eastAsia="Times New Roman"/>
                <w:b/>
                <w:bCs/>
                <w:sz w:val="20"/>
                <w:szCs w:val="20"/>
                <w:lang w:eastAsia="en-GB" w:bidi="ne-NP"/>
              </w:rPr>
              <w:t>8</w:t>
            </w:r>
            <w:r w:rsidRPr="00E10694">
              <w:rPr>
                <w:rFonts w:eastAsia="Times New Roman"/>
                <w:b/>
                <w:bCs/>
                <w:sz w:val="20"/>
                <w:szCs w:val="20"/>
                <w:lang w:eastAsia="en-GB" w:bidi="ne-NP"/>
              </w:rPr>
              <w:t>)</w:t>
            </w:r>
            <w:r w:rsidRPr="00E10694">
              <w:rPr>
                <w:rFonts w:eastAsia="Times New Roman"/>
                <w:sz w:val="20"/>
                <w:szCs w:val="20"/>
                <w:lang w:eastAsia="en-GB" w:bidi="ne-NP"/>
              </w:rPr>
              <w:t xml:space="preserve"> 7.6. Efektīvi pasākumi interešu konfliktu, krāpšanas un korupcijas novēršanai Kohēzijas politikas īstenošanā </w:t>
            </w:r>
            <w:r w:rsidR="00932146" w:rsidRPr="00E10694">
              <w:rPr>
                <w:rFonts w:eastAsia="Times New Roman"/>
                <w:sz w:val="20"/>
                <w:szCs w:val="20"/>
                <w:lang w:eastAsia="en-GB" w:bidi="ne-NP"/>
              </w:rPr>
              <w:t xml:space="preserve"> </w:t>
            </w:r>
            <w:r w:rsidR="00B56C78" w:rsidRPr="00E10694">
              <w:rPr>
                <w:rFonts w:eastAsia="Times New Roman"/>
                <w:sz w:val="20"/>
                <w:szCs w:val="20"/>
                <w:lang w:eastAsia="en-GB" w:bidi="ne-NP"/>
              </w:rPr>
              <w:t>(vadības un kontroles sistēmas institūciju pārstāvju un valsts pārvaldes darbinieku, kuri tieši vai netieši iesaistīti Kohēzijas politikas mērķu sasniegšanā, apmācības)</w:t>
            </w:r>
            <w:r w:rsidR="0066472C" w:rsidRPr="00E10694">
              <w:rPr>
                <w:rFonts w:eastAsia="Times New Roman"/>
                <w:sz w:val="20"/>
                <w:szCs w:val="20"/>
                <w:lang w:eastAsia="en-GB" w:bidi="ne-NP"/>
              </w:rPr>
              <w:t>;</w:t>
            </w:r>
          </w:p>
          <w:p w14:paraId="413846F9" w14:textId="02B45FE6" w:rsidR="00531B09" w:rsidRPr="00E10694" w:rsidRDefault="009E073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19</w:t>
            </w:r>
            <w:r w:rsidR="00531B09" w:rsidRPr="00E10694">
              <w:rPr>
                <w:rFonts w:eastAsia="Times New Roman"/>
                <w:b/>
                <w:bCs/>
                <w:sz w:val="20"/>
                <w:szCs w:val="20"/>
                <w:lang w:eastAsia="en-GB" w:bidi="ne-NP"/>
              </w:rPr>
              <w:t>)</w:t>
            </w:r>
            <w:r w:rsidR="00531B09" w:rsidRPr="00E10694">
              <w:rPr>
                <w:rFonts w:eastAsia="Times New Roman"/>
                <w:sz w:val="20"/>
                <w:szCs w:val="20"/>
                <w:lang w:eastAsia="en-GB" w:bidi="ne-NP"/>
              </w:rPr>
              <w:t xml:space="preserve"> 8.1. Labā prakse Kohēzijas politikas fondu plānošanā, vadībā, </w:t>
            </w:r>
            <w:proofErr w:type="spellStart"/>
            <w:r w:rsidR="00531B09" w:rsidRPr="00E10694">
              <w:rPr>
                <w:rFonts w:eastAsia="Times New Roman"/>
                <w:sz w:val="20"/>
                <w:szCs w:val="20"/>
                <w:lang w:eastAsia="en-GB" w:bidi="ne-NP"/>
              </w:rPr>
              <w:t>ex-ante</w:t>
            </w:r>
            <w:proofErr w:type="spellEnd"/>
            <w:r w:rsidR="00531B09" w:rsidRPr="00E10694">
              <w:rPr>
                <w:rFonts w:eastAsia="Times New Roman"/>
                <w:sz w:val="20"/>
                <w:szCs w:val="20"/>
                <w:lang w:eastAsia="en-GB" w:bidi="ne-NP"/>
              </w:rPr>
              <w:t xml:space="preserve"> un </w:t>
            </w:r>
            <w:proofErr w:type="spellStart"/>
            <w:r w:rsidR="00531B09" w:rsidRPr="00E10694">
              <w:rPr>
                <w:rFonts w:eastAsia="Times New Roman"/>
                <w:sz w:val="20"/>
                <w:szCs w:val="20"/>
                <w:lang w:eastAsia="en-GB" w:bidi="ne-NP"/>
              </w:rPr>
              <w:t>ex</w:t>
            </w:r>
            <w:proofErr w:type="spellEnd"/>
            <w:r w:rsidR="00531B09" w:rsidRPr="00E10694">
              <w:rPr>
                <w:rFonts w:eastAsia="Times New Roman"/>
                <w:sz w:val="20"/>
                <w:szCs w:val="20"/>
                <w:lang w:eastAsia="en-GB" w:bidi="ne-NP"/>
              </w:rPr>
              <w:t>-post novērtējumā, rezultātu sasniegšanā un to publicitātē sabiedrībai</w:t>
            </w:r>
            <w:r w:rsidR="003835A3" w:rsidRPr="00E10694">
              <w:rPr>
                <w:rFonts w:eastAsia="Times New Roman"/>
                <w:sz w:val="20"/>
                <w:szCs w:val="20"/>
                <w:lang w:eastAsia="en-GB" w:bidi="ne-NP"/>
              </w:rPr>
              <w:t xml:space="preserve"> (</w:t>
            </w:r>
            <w:r w:rsidR="00932146" w:rsidRPr="00E10694">
              <w:rPr>
                <w:rFonts w:eastAsia="Times New Roman"/>
                <w:sz w:val="20"/>
                <w:szCs w:val="20"/>
                <w:lang w:eastAsia="en-GB" w:bidi="ne-NP"/>
              </w:rPr>
              <w:t>ap</w:t>
            </w:r>
            <w:r w:rsidR="00861F3D" w:rsidRPr="00E10694">
              <w:rPr>
                <w:rFonts w:eastAsia="Times New Roman"/>
                <w:sz w:val="20"/>
                <w:szCs w:val="20"/>
                <w:lang w:eastAsia="en-GB" w:bidi="ne-NP"/>
              </w:rPr>
              <w:t>mācības</w:t>
            </w:r>
            <w:r w:rsidR="003835A3" w:rsidRPr="00E10694">
              <w:rPr>
                <w:rFonts w:eastAsia="Times New Roman"/>
                <w:sz w:val="20"/>
                <w:szCs w:val="20"/>
                <w:lang w:eastAsia="en-GB" w:bidi="ne-NP"/>
              </w:rPr>
              <w:t>)</w:t>
            </w:r>
            <w:r w:rsidR="0066472C" w:rsidRPr="00E10694">
              <w:rPr>
                <w:rFonts w:eastAsia="Times New Roman"/>
                <w:sz w:val="20"/>
                <w:szCs w:val="20"/>
                <w:lang w:eastAsia="en-GB" w:bidi="ne-NP"/>
              </w:rPr>
              <w:t>.</w:t>
            </w:r>
          </w:p>
          <w:p w14:paraId="270792AE" w14:textId="259E01C1" w:rsidR="00531B09" w:rsidRPr="00E10694" w:rsidRDefault="00531B09" w:rsidP="00F228C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III prioritāte</w:t>
            </w:r>
            <w:r w:rsidR="009362FF" w:rsidRPr="00E10694">
              <w:rPr>
                <w:rFonts w:eastAsia="Times New Roman"/>
                <w:b/>
                <w:bCs/>
                <w:sz w:val="20"/>
                <w:szCs w:val="20"/>
                <w:lang w:eastAsia="en-GB" w:bidi="ne-NP"/>
              </w:rPr>
              <w:t>s</w:t>
            </w:r>
            <w:r w:rsidRPr="00E10694">
              <w:rPr>
                <w:rFonts w:eastAsia="Times New Roman"/>
                <w:b/>
                <w:bCs/>
                <w:sz w:val="20"/>
                <w:szCs w:val="20"/>
                <w:lang w:eastAsia="en-GB" w:bidi="ne-NP"/>
              </w:rPr>
              <w:t xml:space="preserve"> “</w:t>
            </w:r>
            <w:proofErr w:type="spellStart"/>
            <w:r w:rsidRPr="00E10694">
              <w:rPr>
                <w:rFonts w:eastAsia="Times New Roman"/>
                <w:b/>
                <w:bCs/>
                <w:sz w:val="20"/>
                <w:szCs w:val="20"/>
                <w:lang w:eastAsia="en-GB" w:bidi="ne-NP"/>
              </w:rPr>
              <w:t>Digitalizācija</w:t>
            </w:r>
            <w:proofErr w:type="spellEnd"/>
            <w:r w:rsidRPr="00E10694">
              <w:rPr>
                <w:rFonts w:eastAsia="Times New Roman"/>
                <w:b/>
                <w:bCs/>
                <w:sz w:val="20"/>
                <w:szCs w:val="20"/>
                <w:lang w:eastAsia="en-GB" w:bidi="ne-NP"/>
              </w:rPr>
              <w:t>, dati un informācijas sistēmas”</w:t>
            </w:r>
            <w:r w:rsidR="009362FF" w:rsidRPr="00E10694">
              <w:rPr>
                <w:rFonts w:eastAsia="Times New Roman"/>
                <w:b/>
                <w:bCs/>
                <w:sz w:val="20"/>
                <w:szCs w:val="20"/>
                <w:lang w:eastAsia="en-GB" w:bidi="ne-NP"/>
              </w:rPr>
              <w:t xml:space="preserve"> </w:t>
            </w:r>
            <w:r w:rsidR="009362FF" w:rsidRPr="00E10694">
              <w:rPr>
                <w:rFonts w:eastAsia="Times New Roman"/>
                <w:sz w:val="20"/>
                <w:szCs w:val="20"/>
                <w:lang w:eastAsia="en-GB" w:bidi="ne-NP"/>
              </w:rPr>
              <w:t xml:space="preserve">ietvaros </w:t>
            </w:r>
            <w:r w:rsidR="00F228C2" w:rsidRPr="00E10694">
              <w:rPr>
                <w:rFonts w:eastAsia="Times New Roman"/>
                <w:sz w:val="20"/>
                <w:szCs w:val="20"/>
                <w:lang w:eastAsia="en-GB" w:bidi="ne-NP"/>
              </w:rPr>
              <w:t xml:space="preserve">tiks radītas informāciju tehnoloģiju sistēmas, rīki un metodes Kohēzijas politikas ieviešanas atbalstam un labākai pārvaldībai, nodrošinot </w:t>
            </w:r>
            <w:r w:rsidR="007A22C8" w:rsidRPr="00E10694">
              <w:rPr>
                <w:rFonts w:eastAsia="Times New Roman"/>
                <w:sz w:val="20"/>
                <w:szCs w:val="20"/>
                <w:lang w:eastAsia="en-GB" w:bidi="ne-NP"/>
              </w:rPr>
              <w:t>Kohēzijas politikas fondu vadības informācijas sistēmas</w:t>
            </w:r>
            <w:r w:rsidR="00F228C2" w:rsidRPr="00E10694">
              <w:rPr>
                <w:rFonts w:eastAsia="Times New Roman"/>
                <w:sz w:val="20"/>
                <w:szCs w:val="20"/>
                <w:lang w:eastAsia="en-GB" w:bidi="ne-NP"/>
              </w:rPr>
              <w:t xml:space="preserve"> attīstību; projektu īstenotāju, saņēmēju un iedzīvotāju informētību; pakalpojumu uzlabošanu un datos balstītu lēmumu pieņemšanu:</w:t>
            </w:r>
          </w:p>
          <w:p w14:paraId="644E36BE" w14:textId="2718189F"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lastRenderedPageBreak/>
              <w:t>2</w:t>
            </w:r>
            <w:r w:rsidR="009E0739" w:rsidRPr="00E10694">
              <w:rPr>
                <w:rFonts w:eastAsia="Times New Roman"/>
                <w:b/>
                <w:bCs/>
                <w:sz w:val="20"/>
                <w:szCs w:val="20"/>
                <w:lang w:eastAsia="en-GB" w:bidi="ne-NP"/>
              </w:rPr>
              <w:t>0</w:t>
            </w:r>
            <w:r w:rsidRPr="00E10694">
              <w:rPr>
                <w:rFonts w:eastAsia="Times New Roman"/>
                <w:b/>
                <w:bCs/>
                <w:sz w:val="20"/>
                <w:szCs w:val="20"/>
                <w:lang w:eastAsia="en-GB" w:bidi="ne-NP"/>
              </w:rPr>
              <w:t>)</w:t>
            </w:r>
            <w:r w:rsidRPr="00E10694">
              <w:rPr>
                <w:rFonts w:eastAsia="Times New Roman"/>
                <w:sz w:val="20"/>
                <w:szCs w:val="20"/>
                <w:lang w:eastAsia="en-GB" w:bidi="ne-NP"/>
              </w:rPr>
              <w:t xml:space="preserve"> 10.5. </w:t>
            </w:r>
            <w:r w:rsidR="00A2115C" w:rsidRPr="00E10694">
              <w:rPr>
                <w:rFonts w:eastAsia="Times New Roman"/>
                <w:sz w:val="20"/>
                <w:szCs w:val="20"/>
                <w:lang w:eastAsia="en-GB" w:bidi="ne-NP"/>
              </w:rPr>
              <w:t>Veici</w:t>
            </w:r>
            <w:r w:rsidRPr="00E10694">
              <w:rPr>
                <w:rFonts w:eastAsia="Times New Roman"/>
                <w:sz w:val="20"/>
                <w:szCs w:val="20"/>
                <w:lang w:eastAsia="en-GB" w:bidi="ne-NP"/>
              </w:rPr>
              <w:t>nāt</w:t>
            </w:r>
            <w:r w:rsidR="00A2115C" w:rsidRPr="00E10694">
              <w:rPr>
                <w:rFonts w:eastAsia="Times New Roman"/>
                <w:sz w:val="20"/>
                <w:szCs w:val="20"/>
                <w:lang w:eastAsia="en-GB" w:bidi="ne-NP"/>
              </w:rPr>
              <w:t>a</w:t>
            </w:r>
            <w:r w:rsidRPr="00E10694">
              <w:rPr>
                <w:rFonts w:eastAsia="Times New Roman"/>
                <w:sz w:val="20"/>
                <w:szCs w:val="20"/>
                <w:lang w:eastAsia="en-GB" w:bidi="ne-NP"/>
              </w:rPr>
              <w:t xml:space="preserve"> publisko iepirkumu noteikumu ievērošan</w:t>
            </w:r>
            <w:r w:rsidR="00A2115C" w:rsidRPr="00E10694">
              <w:rPr>
                <w:rFonts w:eastAsia="Times New Roman"/>
                <w:sz w:val="20"/>
                <w:szCs w:val="20"/>
                <w:lang w:eastAsia="en-GB" w:bidi="ne-NP"/>
              </w:rPr>
              <w:t>a</w:t>
            </w:r>
            <w:r w:rsidRPr="00E10694">
              <w:rPr>
                <w:rFonts w:eastAsia="Times New Roman"/>
                <w:sz w:val="20"/>
                <w:szCs w:val="20"/>
                <w:lang w:eastAsia="en-GB" w:bidi="ne-NP"/>
              </w:rPr>
              <w:t xml:space="preserve"> Kohēzijas politikas īstenošanā</w:t>
            </w:r>
            <w:r w:rsidR="002C2BE0" w:rsidRPr="00E10694">
              <w:rPr>
                <w:rFonts w:eastAsia="Times New Roman"/>
                <w:sz w:val="20"/>
                <w:szCs w:val="20"/>
                <w:lang w:eastAsia="en-GB" w:bidi="ne-NP"/>
              </w:rPr>
              <w:t xml:space="preserve"> (</w:t>
            </w:r>
            <w:r w:rsidR="00325E7A" w:rsidRPr="00E10694">
              <w:rPr>
                <w:rFonts w:eastAsia="Times New Roman"/>
                <w:sz w:val="20"/>
                <w:szCs w:val="20"/>
                <w:lang w:eastAsia="en-GB" w:bidi="ne-NP"/>
              </w:rPr>
              <w:t>informācijas un labās prakses strukturēšana un atjaunošana Iepirkumu uzraudzības biroja tīmekļvietnē</w:t>
            </w:r>
            <w:r w:rsidR="002C2BE0" w:rsidRPr="00E10694">
              <w:rPr>
                <w:rFonts w:eastAsia="Times New Roman"/>
                <w:sz w:val="20"/>
                <w:szCs w:val="20"/>
                <w:lang w:eastAsia="en-GB" w:bidi="ne-NP"/>
              </w:rPr>
              <w:t>)</w:t>
            </w:r>
            <w:r w:rsidR="0066472C" w:rsidRPr="00E10694">
              <w:rPr>
                <w:rFonts w:eastAsia="Times New Roman"/>
                <w:sz w:val="20"/>
                <w:szCs w:val="20"/>
                <w:lang w:eastAsia="en-GB" w:bidi="ne-NP"/>
              </w:rPr>
              <w:t>;</w:t>
            </w:r>
          </w:p>
          <w:p w14:paraId="6A2F2011" w14:textId="25B061F4" w:rsidR="00531B09" w:rsidRPr="00E10694" w:rsidRDefault="00531B09" w:rsidP="00181482">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2</w:t>
            </w:r>
            <w:r w:rsidR="009E0739" w:rsidRPr="00E10694">
              <w:rPr>
                <w:rFonts w:eastAsia="Times New Roman"/>
                <w:b/>
                <w:bCs/>
                <w:sz w:val="20"/>
                <w:szCs w:val="20"/>
                <w:lang w:eastAsia="en-GB" w:bidi="ne-NP"/>
              </w:rPr>
              <w:t>1</w:t>
            </w:r>
            <w:r w:rsidRPr="00E10694">
              <w:rPr>
                <w:rFonts w:eastAsia="Times New Roman"/>
                <w:b/>
                <w:bCs/>
                <w:sz w:val="20"/>
                <w:szCs w:val="20"/>
                <w:lang w:eastAsia="en-GB" w:bidi="ne-NP"/>
              </w:rPr>
              <w:t>)</w:t>
            </w:r>
            <w:r w:rsidRPr="00E10694">
              <w:rPr>
                <w:rFonts w:eastAsia="Times New Roman"/>
                <w:sz w:val="20"/>
                <w:szCs w:val="20"/>
                <w:lang w:eastAsia="en-GB" w:bidi="ne-NP"/>
              </w:rPr>
              <w:t xml:space="preserve"> 11.1.a Datu analīzes un risku pārvaldības spēju stiprināšana (</w:t>
            </w:r>
            <w:r w:rsidR="003A6AE8" w:rsidRPr="00E10694">
              <w:rPr>
                <w:rFonts w:eastAsia="Times New Roman"/>
                <w:sz w:val="20"/>
                <w:szCs w:val="20"/>
                <w:lang w:eastAsia="en-GB" w:bidi="ne-NP"/>
              </w:rPr>
              <w:t>e-kursa izstrāde</w:t>
            </w:r>
            <w:r w:rsidR="00A066A4" w:rsidRPr="00E10694">
              <w:rPr>
                <w:rFonts w:eastAsia="Times New Roman"/>
                <w:sz w:val="20"/>
                <w:szCs w:val="20"/>
                <w:lang w:eastAsia="en-GB" w:bidi="ne-NP"/>
              </w:rPr>
              <w:t>)</w:t>
            </w:r>
            <w:r w:rsidR="0066472C" w:rsidRPr="00E10694">
              <w:rPr>
                <w:rFonts w:eastAsia="Times New Roman"/>
                <w:sz w:val="20"/>
                <w:szCs w:val="20"/>
                <w:lang w:eastAsia="en-GB" w:bidi="ne-NP"/>
              </w:rPr>
              <w:t>;</w:t>
            </w:r>
          </w:p>
          <w:p w14:paraId="40CC235F" w14:textId="7AAA9C63" w:rsidR="00531B09" w:rsidRPr="00E10694" w:rsidRDefault="00531B09" w:rsidP="00B56C78">
            <w:pPr>
              <w:spacing w:after="60" w:line="240" w:lineRule="auto"/>
              <w:ind w:left="142" w:right="136"/>
              <w:jc w:val="both"/>
              <w:rPr>
                <w:rFonts w:eastAsia="Times New Roman"/>
                <w:sz w:val="20"/>
                <w:szCs w:val="20"/>
                <w:lang w:eastAsia="en-GB" w:bidi="ne-NP"/>
              </w:rPr>
            </w:pPr>
            <w:r w:rsidRPr="00E10694">
              <w:rPr>
                <w:rFonts w:eastAsia="Times New Roman"/>
                <w:b/>
                <w:bCs/>
                <w:sz w:val="20"/>
                <w:szCs w:val="20"/>
                <w:lang w:eastAsia="en-GB" w:bidi="ne-NP"/>
              </w:rPr>
              <w:t>2</w:t>
            </w:r>
            <w:r w:rsidR="009E0739" w:rsidRPr="00E10694">
              <w:rPr>
                <w:rFonts w:eastAsia="Times New Roman"/>
                <w:b/>
                <w:bCs/>
                <w:sz w:val="20"/>
                <w:szCs w:val="20"/>
                <w:lang w:eastAsia="en-GB" w:bidi="ne-NP"/>
              </w:rPr>
              <w:t>2</w:t>
            </w:r>
            <w:r w:rsidRPr="00E10694">
              <w:rPr>
                <w:rFonts w:eastAsia="Times New Roman"/>
                <w:b/>
                <w:bCs/>
                <w:sz w:val="20"/>
                <w:szCs w:val="20"/>
                <w:lang w:eastAsia="en-GB" w:bidi="ne-NP"/>
              </w:rPr>
              <w:t>)</w:t>
            </w:r>
            <w:r w:rsidRPr="00E10694">
              <w:rPr>
                <w:rFonts w:eastAsia="Times New Roman"/>
                <w:sz w:val="20"/>
                <w:szCs w:val="20"/>
                <w:lang w:eastAsia="en-GB" w:bidi="ne-NP"/>
              </w:rPr>
              <w:t xml:space="preserve"> 11.1.b Datu analīzes un risku pārvaldības spēju stiprināšana </w:t>
            </w:r>
            <w:r w:rsidR="00932146" w:rsidRPr="00E10694">
              <w:rPr>
                <w:rFonts w:eastAsia="Times New Roman"/>
                <w:sz w:val="20"/>
                <w:szCs w:val="20"/>
                <w:lang w:eastAsia="en-GB" w:bidi="ne-NP"/>
              </w:rPr>
              <w:t xml:space="preserve"> </w:t>
            </w:r>
            <w:r w:rsidR="00B56C78" w:rsidRPr="00E10694">
              <w:rPr>
                <w:rFonts w:eastAsia="Times New Roman"/>
                <w:sz w:val="20"/>
                <w:szCs w:val="20"/>
                <w:lang w:eastAsia="en-GB" w:bidi="ne-NP"/>
              </w:rPr>
              <w:t>(vadības un kontroles sistēmas institūciju pārstāvju un valsts pārvaldes darbinieku, kuri tieši vai netieši iesaistīti Kohēzijas politikas mērķu sasniegšanā, apmācības)</w:t>
            </w:r>
            <w:r w:rsidR="0066472C" w:rsidRPr="00E10694">
              <w:rPr>
                <w:rFonts w:eastAsia="Times New Roman"/>
                <w:sz w:val="20"/>
                <w:szCs w:val="20"/>
                <w:lang w:eastAsia="en-GB" w:bidi="ne-NP"/>
              </w:rPr>
              <w:t>.</w:t>
            </w:r>
          </w:p>
        </w:tc>
      </w:tr>
      <w:tr w:rsidR="00E10694" w:rsidRPr="00E10694" w14:paraId="3C95ABD7"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195"/>
              <w:gridCol w:w="2333"/>
            </w:tblGrid>
            <w:tr w:rsidR="00E10694" w:rsidRPr="00E10694" w14:paraId="3A69E0FA" w14:textId="77777777" w:rsidTr="0029696D">
              <w:tc>
                <w:tcPr>
                  <w:tcW w:w="385" w:type="pct"/>
                  <w:shd w:val="clear" w:color="auto" w:fill="auto"/>
                  <w:hideMark/>
                </w:tcPr>
                <w:p w14:paraId="2B960FE7"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lastRenderedPageBreak/>
                    <w:t>2.</w:t>
                  </w:r>
                </w:p>
              </w:tc>
              <w:tc>
                <w:tcPr>
                  <w:tcW w:w="4615" w:type="pct"/>
                  <w:shd w:val="clear" w:color="auto" w:fill="auto"/>
                  <w:hideMark/>
                </w:tcPr>
                <w:p w14:paraId="36ECEDC1" w14:textId="02445A3B" w:rsidR="00CF0674" w:rsidRPr="00E10694" w:rsidRDefault="001F4C0D" w:rsidP="00CF0674">
                  <w:pPr>
                    <w:spacing w:after="0" w:line="240" w:lineRule="auto"/>
                    <w:jc w:val="both"/>
                    <w:rPr>
                      <w:rFonts w:eastAsia="Times New Roman"/>
                      <w:strike/>
                      <w:sz w:val="20"/>
                      <w:szCs w:val="20"/>
                      <w:lang w:eastAsia="en-GB" w:bidi="ne-NP"/>
                    </w:rPr>
                  </w:pPr>
                  <w:r w:rsidRPr="00E10694">
                    <w:rPr>
                      <w:rFonts w:eastAsia="Times New Roman"/>
                      <w:sz w:val="20"/>
                      <w:szCs w:val="20"/>
                      <w:lang w:eastAsia="en-GB" w:bidi="ne-NP"/>
                    </w:rPr>
                    <w:t>Konkrētais (-</w:t>
                  </w:r>
                  <w:proofErr w:type="spellStart"/>
                  <w:r w:rsidRPr="00E10694">
                    <w:rPr>
                      <w:rFonts w:eastAsia="Times New Roman"/>
                      <w:sz w:val="20"/>
                      <w:szCs w:val="20"/>
                      <w:lang w:eastAsia="en-GB" w:bidi="ne-NP"/>
                    </w:rPr>
                    <w:t>ie</w:t>
                  </w:r>
                  <w:proofErr w:type="spellEnd"/>
                  <w:r w:rsidRPr="00E10694">
                    <w:rPr>
                      <w:rFonts w:eastAsia="Times New Roman"/>
                      <w:sz w:val="20"/>
                      <w:szCs w:val="20"/>
                      <w:lang w:eastAsia="en-GB" w:bidi="ne-NP"/>
                    </w:rPr>
                    <w:t>) mērķis (-i)</w:t>
                  </w:r>
                </w:p>
              </w:tc>
            </w:tr>
          </w:tbl>
          <w:p w14:paraId="0AE8A4D3" w14:textId="77777777" w:rsidR="00CF0674" w:rsidRPr="00E10694" w:rsidRDefault="00CF0674" w:rsidP="00CF0674">
            <w:pPr>
              <w:spacing w:after="0" w:line="240" w:lineRule="auto"/>
              <w:rPr>
                <w:rFonts w:eastAsia="Calibri"/>
                <w:sz w:val="20"/>
                <w:szCs w:val="20"/>
                <w:highlight w:val="yellow"/>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A07E981" w14:textId="0A7CA8B8" w:rsidR="005941AF" w:rsidRPr="00E10694" w:rsidRDefault="00285213" w:rsidP="00676EE3">
            <w:pPr>
              <w:spacing w:after="0" w:line="240" w:lineRule="auto"/>
              <w:ind w:left="137" w:right="141"/>
              <w:jc w:val="both"/>
              <w:rPr>
                <w:rFonts w:eastAsia="Times New Roman"/>
                <w:sz w:val="20"/>
                <w:szCs w:val="20"/>
                <w:highlight w:val="yellow"/>
                <w:lang w:eastAsia="en-GB" w:bidi="ne-NP"/>
              </w:rPr>
            </w:pPr>
            <w:r w:rsidRPr="00E10694">
              <w:rPr>
                <w:rFonts w:eastAsia="Times New Roman"/>
                <w:sz w:val="20"/>
                <w:szCs w:val="20"/>
                <w:lang w:eastAsia="en-GB" w:bidi="ne-NP"/>
              </w:rPr>
              <w:t xml:space="preserve">Radīt nepieciešamos priekšnosacījumus cilvēkresursu, finansējuma, zināšanu </w:t>
            </w:r>
            <w:proofErr w:type="spellStart"/>
            <w:r w:rsidRPr="00E10694">
              <w:rPr>
                <w:rFonts w:eastAsia="Times New Roman"/>
                <w:sz w:val="20"/>
                <w:szCs w:val="20"/>
                <w:lang w:eastAsia="en-GB" w:bidi="ne-NP"/>
              </w:rPr>
              <w:t>pārneses</w:t>
            </w:r>
            <w:proofErr w:type="spellEnd"/>
            <w:r w:rsidRPr="00E10694">
              <w:rPr>
                <w:rFonts w:eastAsia="Times New Roman"/>
                <w:sz w:val="20"/>
                <w:szCs w:val="20"/>
                <w:lang w:eastAsia="en-GB" w:bidi="ne-NP"/>
              </w:rPr>
              <w:t>, rīku un tehnoloģiju ieguldījumu pietiekamībai Kohēzijas politikas fondu programmu un projektu rezultātu efektīvai un savlaicīgai sasniegšanai.</w:t>
            </w:r>
          </w:p>
        </w:tc>
      </w:tr>
      <w:tr w:rsidR="00E10694" w:rsidRPr="00E10694" w14:paraId="77DBA2A6"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150"/>
              <w:gridCol w:w="2378"/>
            </w:tblGrid>
            <w:tr w:rsidR="00E10694" w:rsidRPr="00E10694" w14:paraId="2544523F" w14:textId="77777777" w:rsidTr="0029696D">
              <w:tc>
                <w:tcPr>
                  <w:tcW w:w="0" w:type="auto"/>
                  <w:shd w:val="clear" w:color="auto" w:fill="auto"/>
                  <w:hideMark/>
                </w:tcPr>
                <w:p w14:paraId="54EE36DD"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3.</w:t>
                  </w:r>
                </w:p>
              </w:tc>
              <w:tc>
                <w:tcPr>
                  <w:tcW w:w="0" w:type="auto"/>
                  <w:shd w:val="clear" w:color="auto" w:fill="auto"/>
                  <w:hideMark/>
                </w:tcPr>
                <w:p w14:paraId="51BB9B5E"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Izpildāmie nosacījumi vai sasniedzamie rezultāti</w:t>
                  </w:r>
                </w:p>
              </w:tc>
            </w:tr>
          </w:tbl>
          <w:p w14:paraId="49140058" w14:textId="77777777" w:rsidR="00CF0674" w:rsidRPr="00E10694" w:rsidRDefault="00CF0674" w:rsidP="00CF0674">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088C4660" w14:textId="5C29EFE4" w:rsidR="00676EE3" w:rsidRPr="00E10694" w:rsidRDefault="00676EE3" w:rsidP="00676EE3">
            <w:pPr>
              <w:spacing w:after="60" w:line="240" w:lineRule="auto"/>
              <w:ind w:left="136" w:right="142"/>
              <w:jc w:val="both"/>
              <w:rPr>
                <w:rFonts w:eastAsia="Times New Roman"/>
                <w:sz w:val="20"/>
                <w:szCs w:val="20"/>
                <w:lang w:eastAsia="en-GB" w:bidi="ne-NP"/>
              </w:rPr>
            </w:pPr>
            <w:r w:rsidRPr="00E10694">
              <w:rPr>
                <w:rFonts w:eastAsia="Times New Roman"/>
                <w:sz w:val="20"/>
                <w:szCs w:val="20"/>
                <w:lang w:eastAsia="en-GB" w:bidi="ne-NP"/>
              </w:rPr>
              <w:t xml:space="preserve">Administratīvās kapacitātes ceļa kartes </w:t>
            </w:r>
            <w:r w:rsidR="00A22B7C" w:rsidRPr="00E10694">
              <w:rPr>
                <w:rFonts w:eastAsia="Times New Roman"/>
                <w:sz w:val="20"/>
                <w:szCs w:val="20"/>
                <w:lang w:eastAsia="en-GB" w:bidi="ne-NP"/>
              </w:rPr>
              <w:t>ietvaros tiks īstenoti</w:t>
            </w:r>
            <w:r w:rsidRPr="00E10694">
              <w:rPr>
                <w:rFonts w:eastAsia="Times New Roman"/>
                <w:sz w:val="20"/>
                <w:szCs w:val="20"/>
                <w:lang w:eastAsia="en-GB" w:bidi="ne-NP"/>
              </w:rPr>
              <w:t xml:space="preserve"> 22 pasākum</w:t>
            </w:r>
            <w:r w:rsidR="00A22B7C" w:rsidRPr="00E10694">
              <w:rPr>
                <w:rFonts w:eastAsia="Times New Roman"/>
                <w:sz w:val="20"/>
                <w:szCs w:val="20"/>
                <w:lang w:eastAsia="en-GB" w:bidi="ne-NP"/>
              </w:rPr>
              <w:t>i un</w:t>
            </w:r>
            <w:r w:rsidRPr="00E10694">
              <w:rPr>
                <w:rFonts w:eastAsia="Times New Roman"/>
                <w:sz w:val="20"/>
                <w:szCs w:val="20"/>
                <w:lang w:eastAsia="en-GB" w:bidi="ne-NP"/>
              </w:rPr>
              <w:t xml:space="preserve"> sasniegti šādi rezultāti:</w:t>
            </w:r>
          </w:p>
          <w:p w14:paraId="3A4F9B83" w14:textId="4EAFB515" w:rsidR="00D426D8" w:rsidRPr="00E10694" w:rsidRDefault="00D426D8" w:rsidP="002F4E08">
            <w:pPr>
              <w:pStyle w:val="ListParagraph"/>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Pr="00E10694">
              <w:rPr>
                <w:rFonts w:eastAsia="Times New Roman"/>
                <w:sz w:val="20"/>
                <w:szCs w:val="20"/>
                <w:lang w:eastAsia="en-GB" w:bidi="ne-NP"/>
              </w:rPr>
              <w:t xml:space="preserve"> 1.3.</w:t>
            </w:r>
            <w:r w:rsidR="002F4E08" w:rsidRPr="00E10694">
              <w:rPr>
                <w:rFonts w:eastAsia="Times New Roman"/>
                <w:sz w:val="20"/>
                <w:szCs w:val="20"/>
                <w:lang w:eastAsia="en-GB" w:bidi="ne-NP"/>
              </w:rPr>
              <w:t xml:space="preserve"> noorganizētas 4 </w:t>
            </w:r>
            <w:proofErr w:type="spellStart"/>
            <w:r w:rsidR="002F4E08" w:rsidRPr="00E10694">
              <w:rPr>
                <w:rFonts w:eastAsia="Times New Roman"/>
                <w:sz w:val="20"/>
                <w:szCs w:val="20"/>
                <w:lang w:eastAsia="en-GB" w:bidi="ne-NP"/>
              </w:rPr>
              <w:t>domnīcas</w:t>
            </w:r>
            <w:proofErr w:type="spellEnd"/>
            <w:r w:rsidR="002F4E08" w:rsidRPr="00E10694">
              <w:rPr>
                <w:rFonts w:eastAsia="Times New Roman"/>
                <w:sz w:val="20"/>
                <w:szCs w:val="20"/>
                <w:lang w:eastAsia="en-GB" w:bidi="ne-NP"/>
              </w:rPr>
              <w:t xml:space="preserve"> par Integritātes </w:t>
            </w:r>
            <w:proofErr w:type="spellStart"/>
            <w:r w:rsidR="002F4E08" w:rsidRPr="00E10694">
              <w:rPr>
                <w:rFonts w:eastAsia="Times New Roman"/>
                <w:sz w:val="20"/>
                <w:szCs w:val="20"/>
                <w:lang w:eastAsia="en-GB" w:bidi="ne-NP"/>
              </w:rPr>
              <w:t>paktu</w:t>
            </w:r>
            <w:proofErr w:type="spellEnd"/>
            <w:r w:rsidR="002F4E08" w:rsidRPr="00E10694">
              <w:rPr>
                <w:rFonts w:eastAsia="Times New Roman"/>
                <w:sz w:val="20"/>
                <w:szCs w:val="20"/>
                <w:lang w:eastAsia="en-GB" w:bidi="ne-NP"/>
              </w:rPr>
              <w:t xml:space="preserve"> ieviešanu Latvijā</w:t>
            </w:r>
            <w:r w:rsidR="00D44DED" w:rsidRPr="00E10694">
              <w:rPr>
                <w:rFonts w:eastAsia="Times New Roman"/>
                <w:sz w:val="20"/>
                <w:szCs w:val="20"/>
                <w:lang w:eastAsia="en-GB" w:bidi="ne-NP"/>
              </w:rPr>
              <w:t xml:space="preserve"> (</w:t>
            </w:r>
            <w:proofErr w:type="spellStart"/>
            <w:r w:rsidR="00D44DED" w:rsidRPr="00E10694">
              <w:rPr>
                <w:rFonts w:eastAsia="Times New Roman"/>
                <w:sz w:val="20"/>
                <w:szCs w:val="20"/>
                <w:lang w:eastAsia="en-GB" w:bidi="ne-NP"/>
              </w:rPr>
              <w:t>domnīcās</w:t>
            </w:r>
            <w:proofErr w:type="spellEnd"/>
            <w:r w:rsidR="00D44DED" w:rsidRPr="00E10694">
              <w:rPr>
                <w:rFonts w:eastAsia="Times New Roman"/>
                <w:sz w:val="20"/>
                <w:szCs w:val="20"/>
                <w:lang w:eastAsia="en-GB" w:bidi="ne-NP"/>
              </w:rPr>
              <w:t xml:space="preserve"> tiks pārstāvētas visas ieinteresētās puses – valsts pārvaldes iestādes, pašvaldība</w:t>
            </w:r>
            <w:r w:rsidR="00A22B7C" w:rsidRPr="00E10694">
              <w:rPr>
                <w:rFonts w:eastAsia="Times New Roman"/>
                <w:sz w:val="20"/>
                <w:szCs w:val="20"/>
                <w:lang w:eastAsia="en-GB" w:bidi="ne-NP"/>
              </w:rPr>
              <w:t>s</w:t>
            </w:r>
            <w:r w:rsidR="00D44DED" w:rsidRPr="00E10694">
              <w:rPr>
                <w:rFonts w:eastAsia="Times New Roman"/>
                <w:sz w:val="20"/>
                <w:szCs w:val="20"/>
                <w:lang w:eastAsia="en-GB" w:bidi="ne-NP"/>
              </w:rPr>
              <w:t>, nevalstiskās organizācijas, uzņēmēj</w:t>
            </w:r>
            <w:r w:rsidR="00862B43" w:rsidRPr="00E10694">
              <w:rPr>
                <w:rFonts w:eastAsia="Times New Roman"/>
                <w:sz w:val="20"/>
                <w:szCs w:val="20"/>
                <w:lang w:eastAsia="en-GB" w:bidi="ne-NP"/>
              </w:rPr>
              <w:t>u</w:t>
            </w:r>
            <w:r w:rsidR="00A22B7C" w:rsidRPr="00E10694">
              <w:rPr>
                <w:rFonts w:eastAsia="Times New Roman"/>
                <w:sz w:val="20"/>
                <w:szCs w:val="20"/>
                <w:lang w:eastAsia="en-GB" w:bidi="ne-NP"/>
              </w:rPr>
              <w:t xml:space="preserve"> un to organizāciju</w:t>
            </w:r>
            <w:r w:rsidR="00862B43" w:rsidRPr="00E10694">
              <w:rPr>
                <w:rFonts w:eastAsia="Times New Roman"/>
                <w:sz w:val="20"/>
                <w:szCs w:val="20"/>
                <w:lang w:eastAsia="en-GB" w:bidi="ne-NP"/>
              </w:rPr>
              <w:t xml:space="preserve"> </w:t>
            </w:r>
            <w:r w:rsidR="00A22B7C" w:rsidRPr="00E10694">
              <w:rPr>
                <w:rFonts w:eastAsia="Times New Roman"/>
                <w:sz w:val="20"/>
                <w:szCs w:val="20"/>
                <w:lang w:eastAsia="en-GB" w:bidi="ne-NP"/>
              </w:rPr>
              <w:t>pārstāvji</w:t>
            </w:r>
            <w:r w:rsidR="00D44DED" w:rsidRPr="00E10694">
              <w:rPr>
                <w:rFonts w:eastAsia="Times New Roman"/>
                <w:sz w:val="20"/>
                <w:szCs w:val="20"/>
                <w:lang w:eastAsia="en-GB" w:bidi="ne-NP"/>
              </w:rPr>
              <w:t>)</w:t>
            </w:r>
            <w:r w:rsidR="002F4E08" w:rsidRPr="00E10694">
              <w:rPr>
                <w:rFonts w:eastAsia="Times New Roman"/>
                <w:sz w:val="20"/>
                <w:szCs w:val="20"/>
                <w:lang w:eastAsia="en-GB" w:bidi="ne-NP"/>
              </w:rPr>
              <w:t>; veikts</w:t>
            </w:r>
            <w:r w:rsidR="00696F92" w:rsidRPr="00E10694">
              <w:rPr>
                <w:rFonts w:eastAsia="Times New Roman"/>
                <w:sz w:val="20"/>
                <w:szCs w:val="20"/>
                <w:lang w:eastAsia="en-GB" w:bidi="ne-NP"/>
              </w:rPr>
              <w:t xml:space="preserve"> 1</w:t>
            </w:r>
            <w:r w:rsidR="007C4E9A" w:rsidRPr="00E10694">
              <w:rPr>
                <w:rFonts w:eastAsia="Times New Roman"/>
                <w:sz w:val="20"/>
                <w:szCs w:val="20"/>
                <w:lang w:eastAsia="en-GB" w:bidi="ne-NP"/>
              </w:rPr>
              <w:t xml:space="preserve"> </w:t>
            </w:r>
            <w:r w:rsidR="002F4E08" w:rsidRPr="00E10694">
              <w:rPr>
                <w:rFonts w:eastAsia="Times New Roman"/>
                <w:sz w:val="20"/>
                <w:szCs w:val="20"/>
                <w:lang w:eastAsia="en-GB" w:bidi="ne-NP"/>
              </w:rPr>
              <w:t>pētījums par starptautisko pieredzi un NVO iesaistes mehānismiem; īstenota</w:t>
            </w:r>
            <w:r w:rsidR="007C4E9A" w:rsidRPr="00E10694">
              <w:rPr>
                <w:rFonts w:eastAsia="Times New Roman"/>
                <w:sz w:val="20"/>
                <w:szCs w:val="20"/>
                <w:lang w:eastAsia="en-GB" w:bidi="ne-NP"/>
              </w:rPr>
              <w:t xml:space="preserve"> </w:t>
            </w:r>
            <w:r w:rsidR="00696F92" w:rsidRPr="00E10694">
              <w:rPr>
                <w:rFonts w:eastAsia="Times New Roman"/>
                <w:sz w:val="20"/>
                <w:szCs w:val="20"/>
                <w:lang w:eastAsia="en-GB" w:bidi="ne-NP"/>
              </w:rPr>
              <w:t xml:space="preserve">1 </w:t>
            </w:r>
            <w:r w:rsidR="002F4E08" w:rsidRPr="00E10694">
              <w:rPr>
                <w:rFonts w:eastAsia="Times New Roman"/>
                <w:sz w:val="20"/>
                <w:szCs w:val="20"/>
                <w:lang w:eastAsia="en-GB" w:bidi="ne-NP"/>
              </w:rPr>
              <w:t xml:space="preserve">informatīvā kampaņa par Integritātes </w:t>
            </w:r>
            <w:proofErr w:type="spellStart"/>
            <w:r w:rsidR="002F4E08" w:rsidRPr="00E10694">
              <w:rPr>
                <w:rFonts w:eastAsia="Times New Roman"/>
                <w:sz w:val="20"/>
                <w:szCs w:val="20"/>
                <w:lang w:eastAsia="en-GB" w:bidi="ne-NP"/>
              </w:rPr>
              <w:t>paktu</w:t>
            </w:r>
            <w:proofErr w:type="spellEnd"/>
            <w:r w:rsidR="002F4E08" w:rsidRPr="00E10694">
              <w:rPr>
                <w:rFonts w:eastAsia="Times New Roman"/>
                <w:sz w:val="20"/>
                <w:szCs w:val="20"/>
                <w:lang w:eastAsia="en-GB" w:bidi="ne-NP"/>
              </w:rPr>
              <w:t xml:space="preserve"> ieviešanas nozīmīgumu; izstrādāts</w:t>
            </w:r>
            <w:r w:rsidR="00696F92" w:rsidRPr="00E10694">
              <w:rPr>
                <w:rFonts w:eastAsia="Times New Roman"/>
                <w:sz w:val="20"/>
                <w:szCs w:val="20"/>
                <w:lang w:eastAsia="en-GB" w:bidi="ne-NP"/>
              </w:rPr>
              <w:t xml:space="preserve"> </w:t>
            </w:r>
            <w:r w:rsidR="00A025EA" w:rsidRPr="00E10694">
              <w:rPr>
                <w:rFonts w:eastAsia="Times New Roman"/>
                <w:sz w:val="20"/>
                <w:szCs w:val="20"/>
                <w:lang w:eastAsia="en-GB" w:bidi="ne-NP"/>
              </w:rPr>
              <w:t xml:space="preserve">1 </w:t>
            </w:r>
            <w:r w:rsidR="002F4E08" w:rsidRPr="00E10694">
              <w:rPr>
                <w:rFonts w:eastAsia="Times New Roman"/>
                <w:sz w:val="20"/>
                <w:szCs w:val="20"/>
                <w:lang w:eastAsia="en-GB" w:bidi="ne-NP"/>
              </w:rPr>
              <w:t xml:space="preserve">Integritātes </w:t>
            </w:r>
            <w:proofErr w:type="spellStart"/>
            <w:r w:rsidR="002F4E08" w:rsidRPr="00E10694">
              <w:rPr>
                <w:rFonts w:eastAsia="Times New Roman"/>
                <w:sz w:val="20"/>
                <w:szCs w:val="20"/>
                <w:lang w:eastAsia="en-GB" w:bidi="ne-NP"/>
              </w:rPr>
              <w:t>paktu</w:t>
            </w:r>
            <w:proofErr w:type="spellEnd"/>
            <w:r w:rsidR="002F4E08" w:rsidRPr="00E10694">
              <w:rPr>
                <w:rFonts w:eastAsia="Times New Roman"/>
                <w:sz w:val="20"/>
                <w:szCs w:val="20"/>
                <w:lang w:eastAsia="en-GB" w:bidi="ne-NP"/>
              </w:rPr>
              <w:t xml:space="preserve"> ieviešanas standarts;</w:t>
            </w:r>
          </w:p>
          <w:p w14:paraId="795B43CE" w14:textId="4F3F4B64" w:rsidR="00D426D8" w:rsidRPr="00E10694" w:rsidRDefault="00D426D8" w:rsidP="002F4E08">
            <w:pPr>
              <w:pStyle w:val="ListParagraph"/>
              <w:spacing w:after="60" w:line="240" w:lineRule="auto"/>
              <w:ind w:left="136" w:right="142"/>
              <w:contextualSpacing w:val="0"/>
              <w:jc w:val="both"/>
              <w:rPr>
                <w:rFonts w:eastAsia="Times New Roman"/>
                <w:sz w:val="20"/>
                <w:szCs w:val="20"/>
                <w:lang w:eastAsia="en-GB" w:bidi="ne-NP"/>
              </w:rPr>
            </w:pPr>
            <w:r w:rsidRPr="00E10694">
              <w:rPr>
                <w:rFonts w:eastAsia="Times New Roman"/>
                <w:b/>
                <w:bCs/>
                <w:sz w:val="20"/>
                <w:szCs w:val="20"/>
                <w:lang w:eastAsia="en-GB" w:bidi="ne-NP"/>
              </w:rPr>
              <w:t>2)</w:t>
            </w:r>
            <w:r w:rsidRPr="00E10694">
              <w:rPr>
                <w:rFonts w:eastAsia="Times New Roman"/>
                <w:sz w:val="20"/>
                <w:szCs w:val="20"/>
                <w:lang w:eastAsia="en-GB" w:bidi="ne-NP"/>
              </w:rPr>
              <w:t xml:space="preserve"> 1.4</w:t>
            </w:r>
            <w:r w:rsidR="002F4E08" w:rsidRPr="00E10694">
              <w:rPr>
                <w:rFonts w:eastAsia="Times New Roman"/>
                <w:sz w:val="20"/>
                <w:szCs w:val="20"/>
                <w:lang w:eastAsia="en-GB" w:bidi="ne-NP"/>
              </w:rPr>
              <w:t xml:space="preserve">. apmācību ietvaros stiprināta </w:t>
            </w:r>
            <w:proofErr w:type="spellStart"/>
            <w:r w:rsidR="002F4E08" w:rsidRPr="00E10694">
              <w:rPr>
                <w:rFonts w:eastAsia="Times New Roman"/>
                <w:sz w:val="20"/>
                <w:szCs w:val="20"/>
                <w:lang w:eastAsia="en-GB" w:bidi="ne-NP"/>
              </w:rPr>
              <w:t>izvērtējumu</w:t>
            </w:r>
            <w:proofErr w:type="spellEnd"/>
            <w:r w:rsidR="002F4E08" w:rsidRPr="00E10694">
              <w:rPr>
                <w:rFonts w:eastAsia="Times New Roman"/>
                <w:sz w:val="20"/>
                <w:szCs w:val="20"/>
                <w:lang w:eastAsia="en-GB" w:bidi="ne-NP"/>
              </w:rPr>
              <w:t xml:space="preserve"> veikšanas kapacitāte 125 valsts un pašvaldību iestāžu darbiniekiem;</w:t>
            </w:r>
          </w:p>
          <w:p w14:paraId="3D452C4C" w14:textId="743D8EA1" w:rsidR="00D426D8" w:rsidRPr="00E10694" w:rsidRDefault="00D426D8" w:rsidP="00D8412B">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3)</w:t>
            </w:r>
            <w:r w:rsidRPr="00E10694">
              <w:rPr>
                <w:rFonts w:eastAsia="Times New Roman"/>
                <w:sz w:val="20"/>
                <w:szCs w:val="20"/>
                <w:lang w:eastAsia="en-GB" w:bidi="ne-NP"/>
              </w:rPr>
              <w:t xml:space="preserve"> 3.3.</w:t>
            </w:r>
            <w:r w:rsidR="00D8412B" w:rsidRPr="00E10694">
              <w:rPr>
                <w:rFonts w:eastAsia="Times New Roman"/>
                <w:sz w:val="20"/>
                <w:szCs w:val="20"/>
                <w:lang w:eastAsia="en-GB" w:bidi="ne-NP"/>
              </w:rPr>
              <w:t xml:space="preserve"> izstrādātas </w:t>
            </w:r>
            <w:r w:rsidR="007C4E9A" w:rsidRPr="00E10694">
              <w:rPr>
                <w:rFonts w:eastAsia="Times New Roman"/>
                <w:sz w:val="20"/>
                <w:szCs w:val="20"/>
                <w:lang w:eastAsia="en-GB" w:bidi="ne-NP"/>
              </w:rPr>
              <w:t xml:space="preserve">1 </w:t>
            </w:r>
            <w:r w:rsidR="00D8412B" w:rsidRPr="00E10694">
              <w:rPr>
                <w:rFonts w:eastAsia="Times New Roman"/>
                <w:sz w:val="20"/>
                <w:szCs w:val="20"/>
                <w:lang w:eastAsia="en-GB" w:bidi="ne-NP"/>
              </w:rPr>
              <w:t>vadlīnijas cilvēkresursu pārvaldības jautājumos; apmācīti 120 pašvaldību darbinieki</w:t>
            </w:r>
            <w:r w:rsidR="00853B93" w:rsidRPr="00E10694">
              <w:rPr>
                <w:rFonts w:eastAsia="Times New Roman"/>
                <w:sz w:val="20"/>
                <w:szCs w:val="20"/>
                <w:lang w:eastAsia="en-GB" w:bidi="ne-NP"/>
              </w:rPr>
              <w:t xml:space="preserve"> par personāla politiku izveidi un praktisku cilvēkresursu vadības rīku izstrādi</w:t>
            </w:r>
            <w:r w:rsidR="00D8412B" w:rsidRPr="00E10694">
              <w:rPr>
                <w:rFonts w:eastAsia="Times New Roman"/>
                <w:sz w:val="20"/>
                <w:szCs w:val="20"/>
                <w:lang w:eastAsia="en-GB" w:bidi="ne-NP"/>
              </w:rPr>
              <w:t>;</w:t>
            </w:r>
          </w:p>
          <w:p w14:paraId="0DC876D0" w14:textId="3F31AB04"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4)</w:t>
            </w:r>
            <w:r w:rsidRPr="00E10694">
              <w:rPr>
                <w:rFonts w:eastAsia="Times New Roman"/>
                <w:sz w:val="20"/>
                <w:szCs w:val="20"/>
                <w:lang w:eastAsia="en-GB" w:bidi="ne-NP"/>
              </w:rPr>
              <w:t xml:space="preserve"> 4.4. </w:t>
            </w:r>
            <w:r w:rsidR="00D8412B" w:rsidRPr="00E10694">
              <w:rPr>
                <w:rFonts w:eastAsia="Times New Roman"/>
                <w:sz w:val="20"/>
                <w:szCs w:val="20"/>
                <w:lang w:eastAsia="en-GB" w:bidi="ne-NP"/>
              </w:rPr>
              <w:t xml:space="preserve"> apmācīti 145 </w:t>
            </w:r>
            <w:r w:rsidR="008A449C" w:rsidRPr="00E10694">
              <w:rPr>
                <w:rFonts w:eastAsia="Times New Roman"/>
                <w:sz w:val="20"/>
                <w:szCs w:val="20"/>
                <w:lang w:eastAsia="en-GB" w:bidi="ne-NP"/>
              </w:rPr>
              <w:t xml:space="preserve">Eiropas Savienības fondu </w:t>
            </w:r>
            <w:r w:rsidR="002939BF" w:rsidRPr="00E10694">
              <w:rPr>
                <w:rFonts w:eastAsia="Times New Roman"/>
                <w:sz w:val="20"/>
                <w:szCs w:val="20"/>
                <w:lang w:eastAsia="en-GB" w:bidi="ne-NP"/>
              </w:rPr>
              <w:t xml:space="preserve">Uzraudzības </w:t>
            </w:r>
            <w:r w:rsidR="008A449C" w:rsidRPr="00E10694">
              <w:rPr>
                <w:rFonts w:eastAsia="Times New Roman"/>
                <w:sz w:val="20"/>
                <w:szCs w:val="20"/>
                <w:lang w:eastAsia="en-GB" w:bidi="ne-NP"/>
              </w:rPr>
              <w:t xml:space="preserve">komitejā </w:t>
            </w:r>
            <w:r w:rsidR="00D8412B" w:rsidRPr="00E10694">
              <w:rPr>
                <w:rFonts w:eastAsia="Times New Roman"/>
                <w:sz w:val="20"/>
                <w:szCs w:val="20"/>
                <w:lang w:eastAsia="en-GB" w:bidi="ne-NP"/>
              </w:rPr>
              <w:t xml:space="preserve">pārstāvēto </w:t>
            </w:r>
            <w:r w:rsidR="008A449C" w:rsidRPr="00E10694">
              <w:rPr>
                <w:rFonts w:eastAsia="Times New Roman"/>
                <w:sz w:val="20"/>
                <w:szCs w:val="20"/>
                <w:lang w:eastAsia="en-GB" w:bidi="ne-NP"/>
              </w:rPr>
              <w:t>NVO</w:t>
            </w:r>
            <w:r w:rsidR="00D8412B" w:rsidRPr="00E10694">
              <w:rPr>
                <w:rFonts w:eastAsia="Times New Roman"/>
                <w:sz w:val="20"/>
                <w:szCs w:val="20"/>
                <w:lang w:eastAsia="en-GB" w:bidi="ne-NP"/>
              </w:rPr>
              <w:t xml:space="preserve"> dalībnieki</w:t>
            </w:r>
            <w:r w:rsidR="00075C0B" w:rsidRPr="00E10694">
              <w:t xml:space="preserve"> </w:t>
            </w:r>
            <w:r w:rsidR="00075C0B" w:rsidRPr="00E10694">
              <w:rPr>
                <w:rFonts w:eastAsia="Times New Roman"/>
                <w:sz w:val="20"/>
                <w:szCs w:val="20"/>
                <w:lang w:eastAsia="en-GB" w:bidi="ne-NP"/>
              </w:rPr>
              <w:t>partnerības principa attīstīšanai un sabiedrības līdzdalības nodrošināšanai Kohēzijas politikas fondu vadības un uzraudzības procesos</w:t>
            </w:r>
            <w:r w:rsidR="00D8412B" w:rsidRPr="00E10694">
              <w:rPr>
                <w:rFonts w:eastAsia="Times New Roman"/>
                <w:sz w:val="20"/>
                <w:szCs w:val="20"/>
                <w:lang w:eastAsia="en-GB" w:bidi="ne-NP"/>
              </w:rPr>
              <w:t>;</w:t>
            </w:r>
          </w:p>
          <w:p w14:paraId="5E82C953" w14:textId="3FEBE3FD"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5)</w:t>
            </w:r>
            <w:r w:rsidRPr="00E10694">
              <w:rPr>
                <w:rFonts w:eastAsia="Times New Roman"/>
                <w:sz w:val="20"/>
                <w:szCs w:val="20"/>
                <w:lang w:eastAsia="en-GB" w:bidi="ne-NP"/>
              </w:rPr>
              <w:t xml:space="preserve"> 4.5. </w:t>
            </w:r>
            <w:r w:rsidR="008A449C" w:rsidRPr="00E10694">
              <w:rPr>
                <w:rFonts w:eastAsia="Times New Roman"/>
                <w:sz w:val="20"/>
                <w:szCs w:val="20"/>
                <w:lang w:eastAsia="en-GB" w:bidi="ne-NP"/>
              </w:rPr>
              <w:t>noorganizēti 7 pasākumi</w:t>
            </w:r>
            <w:r w:rsidR="00075C0B" w:rsidRPr="00E10694">
              <w:rPr>
                <w:rFonts w:eastAsia="Times New Roman"/>
                <w:sz w:val="20"/>
                <w:szCs w:val="20"/>
                <w:lang w:eastAsia="en-GB" w:bidi="ne-NP"/>
              </w:rPr>
              <w:t xml:space="preserve"> (</w:t>
            </w:r>
            <w:proofErr w:type="spellStart"/>
            <w:r w:rsidR="00075C0B" w:rsidRPr="00E10694">
              <w:rPr>
                <w:rFonts w:eastAsia="Times New Roman"/>
                <w:sz w:val="20"/>
                <w:szCs w:val="20"/>
                <w:lang w:eastAsia="en-GB" w:bidi="ne-NP"/>
              </w:rPr>
              <w:t>hakatoni</w:t>
            </w:r>
            <w:proofErr w:type="spellEnd"/>
            <w:r w:rsidR="00075C0B" w:rsidRPr="00E10694">
              <w:rPr>
                <w:rFonts w:eastAsia="Times New Roman"/>
                <w:sz w:val="20"/>
                <w:szCs w:val="20"/>
                <w:lang w:eastAsia="en-GB" w:bidi="ne-NP"/>
              </w:rPr>
              <w:t xml:space="preserve">, </w:t>
            </w:r>
            <w:proofErr w:type="spellStart"/>
            <w:r w:rsidR="00075C0B" w:rsidRPr="00E10694">
              <w:rPr>
                <w:rFonts w:eastAsia="Times New Roman"/>
                <w:sz w:val="20"/>
                <w:szCs w:val="20"/>
                <w:lang w:eastAsia="en-GB" w:bidi="ne-NP"/>
              </w:rPr>
              <w:t>domnīcas</w:t>
            </w:r>
            <w:proofErr w:type="spellEnd"/>
            <w:r w:rsidR="00075C0B" w:rsidRPr="00E10694">
              <w:rPr>
                <w:rFonts w:eastAsia="Times New Roman"/>
                <w:sz w:val="20"/>
                <w:szCs w:val="20"/>
                <w:lang w:eastAsia="en-GB" w:bidi="ne-NP"/>
              </w:rPr>
              <w:t>, ikgadējās tikšanās ar nozaru ministrijām) pilsoniskās sabiedrības pārstāvjiem Kohēzijas politikas efektīvākai īstenošanai;</w:t>
            </w:r>
          </w:p>
          <w:p w14:paraId="368C1E0D" w14:textId="01FBFFF1" w:rsidR="00D426D8" w:rsidRPr="00E10694" w:rsidRDefault="00D426D8" w:rsidP="00A57FBE">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6)</w:t>
            </w:r>
            <w:r w:rsidRPr="00E10694">
              <w:rPr>
                <w:rFonts w:eastAsia="Times New Roman"/>
                <w:sz w:val="20"/>
                <w:szCs w:val="20"/>
                <w:lang w:eastAsia="en-GB" w:bidi="ne-NP"/>
              </w:rPr>
              <w:t xml:space="preserve"> 5.2. </w:t>
            </w:r>
            <w:r w:rsidR="00A57FBE" w:rsidRPr="00E10694">
              <w:rPr>
                <w:rFonts w:eastAsia="Times New Roman"/>
                <w:sz w:val="20"/>
                <w:szCs w:val="20"/>
                <w:lang w:eastAsia="en-GB" w:bidi="ne-NP"/>
              </w:rPr>
              <w:t>noorganizēti 15 semināri finansējuma saņēmēju kapacitātes paaugstināšanai; veiktas 6 aptaujas ES fondu projektu iesniedzēju un finansējuma saņēmēju apmierinātības noteikšanai par informācijas pieejamību un īstenotajiem atbalsta procesiem;</w:t>
            </w:r>
          </w:p>
          <w:p w14:paraId="47872BEB" w14:textId="2B1000DB"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7)</w:t>
            </w:r>
            <w:r w:rsidRPr="00E10694">
              <w:rPr>
                <w:rFonts w:eastAsia="Times New Roman"/>
                <w:sz w:val="20"/>
                <w:szCs w:val="20"/>
                <w:lang w:eastAsia="en-GB" w:bidi="ne-NP"/>
              </w:rPr>
              <w:t xml:space="preserve"> 6.2. izstrādāts </w:t>
            </w:r>
            <w:r w:rsidR="00696F92" w:rsidRPr="00E10694">
              <w:rPr>
                <w:rFonts w:eastAsia="Times New Roman"/>
                <w:sz w:val="20"/>
                <w:szCs w:val="20"/>
                <w:lang w:eastAsia="en-GB" w:bidi="ne-NP"/>
              </w:rPr>
              <w:t xml:space="preserve">1 </w:t>
            </w:r>
            <w:r w:rsidRPr="00E10694">
              <w:rPr>
                <w:rFonts w:eastAsia="Times New Roman"/>
                <w:sz w:val="20"/>
                <w:szCs w:val="20"/>
                <w:lang w:eastAsia="en-GB" w:bidi="ne-NP"/>
              </w:rPr>
              <w:t>kompetenču ietvars/projektu vadības prasmju standarts</w:t>
            </w:r>
            <w:r w:rsidR="00A57FBE" w:rsidRPr="00E10694">
              <w:rPr>
                <w:rFonts w:eastAsia="Times New Roman"/>
                <w:sz w:val="20"/>
                <w:szCs w:val="20"/>
                <w:lang w:eastAsia="en-GB" w:bidi="ne-NP"/>
              </w:rPr>
              <w:t>;</w:t>
            </w:r>
          </w:p>
          <w:p w14:paraId="27ACB78E" w14:textId="63E1514B"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8)</w:t>
            </w:r>
            <w:r w:rsidRPr="00E10694">
              <w:rPr>
                <w:rFonts w:eastAsia="Times New Roman"/>
                <w:sz w:val="20"/>
                <w:szCs w:val="20"/>
                <w:lang w:eastAsia="en-GB" w:bidi="ne-NP"/>
              </w:rPr>
              <w:t xml:space="preserve"> 6.3. apmācīti </w:t>
            </w:r>
            <w:r w:rsidR="00DA4990" w:rsidRPr="00E10694">
              <w:rPr>
                <w:rFonts w:eastAsia="Times New Roman"/>
                <w:sz w:val="20"/>
                <w:szCs w:val="20"/>
                <w:lang w:eastAsia="en-GB" w:bidi="ne-NP"/>
              </w:rPr>
              <w:t>6</w:t>
            </w:r>
            <w:r w:rsidR="001C15B5" w:rsidRPr="00E10694">
              <w:rPr>
                <w:rFonts w:eastAsia="Times New Roman"/>
                <w:sz w:val="20"/>
                <w:szCs w:val="20"/>
                <w:lang w:eastAsia="en-GB" w:bidi="ne-NP"/>
              </w:rPr>
              <w:t>5</w:t>
            </w:r>
            <w:r w:rsidRPr="00E10694">
              <w:rPr>
                <w:rFonts w:eastAsia="Times New Roman"/>
                <w:sz w:val="20"/>
                <w:szCs w:val="20"/>
                <w:lang w:eastAsia="en-GB" w:bidi="ne-NP"/>
              </w:rPr>
              <w:t>0 projektu vadītāji</w:t>
            </w:r>
            <w:r w:rsidR="00A57FBE" w:rsidRPr="00E10694">
              <w:rPr>
                <w:rFonts w:eastAsia="Times New Roman"/>
                <w:sz w:val="20"/>
                <w:szCs w:val="20"/>
                <w:lang w:eastAsia="en-GB" w:bidi="ne-NP"/>
              </w:rPr>
              <w:t>;</w:t>
            </w:r>
          </w:p>
          <w:p w14:paraId="37C14E8F" w14:textId="4F3019B2"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9)</w:t>
            </w:r>
            <w:r w:rsidRPr="00E10694">
              <w:rPr>
                <w:rFonts w:eastAsia="Times New Roman"/>
                <w:sz w:val="20"/>
                <w:szCs w:val="20"/>
                <w:lang w:eastAsia="en-GB" w:bidi="ne-NP"/>
              </w:rPr>
              <w:t xml:space="preserve"> 6.6. </w:t>
            </w:r>
            <w:r w:rsidR="00044223" w:rsidRPr="00E10694">
              <w:rPr>
                <w:rFonts w:eastAsia="Times New Roman"/>
                <w:sz w:val="20"/>
                <w:szCs w:val="20"/>
                <w:lang w:eastAsia="en-GB" w:bidi="ne-NP"/>
              </w:rPr>
              <w:t>a</w:t>
            </w:r>
            <w:r w:rsidRPr="00E10694">
              <w:rPr>
                <w:rFonts w:eastAsia="Times New Roman"/>
                <w:sz w:val="20"/>
                <w:szCs w:val="20"/>
                <w:lang w:eastAsia="en-GB" w:bidi="ne-NP"/>
              </w:rPr>
              <w:t>pmācīti 300 Kohēzijas politikas fondu vadības informācijas sistēma Datu analīzes rīka lietotāji</w:t>
            </w:r>
            <w:r w:rsidR="0010684C" w:rsidRPr="00E10694">
              <w:rPr>
                <w:rFonts w:eastAsia="Times New Roman"/>
                <w:sz w:val="20"/>
                <w:szCs w:val="20"/>
                <w:lang w:eastAsia="en-GB" w:bidi="ne-NP"/>
              </w:rPr>
              <w:t>;</w:t>
            </w:r>
          </w:p>
          <w:p w14:paraId="0DEF9088" w14:textId="4A2A7A8E"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00044223" w:rsidRPr="00E10694">
              <w:rPr>
                <w:rFonts w:eastAsia="Times New Roman"/>
                <w:b/>
                <w:bCs/>
                <w:sz w:val="20"/>
                <w:szCs w:val="20"/>
                <w:lang w:eastAsia="en-GB" w:bidi="ne-NP"/>
              </w:rPr>
              <w:t>0</w:t>
            </w:r>
            <w:r w:rsidRPr="00E10694">
              <w:rPr>
                <w:rFonts w:eastAsia="Times New Roman"/>
                <w:b/>
                <w:bCs/>
                <w:sz w:val="20"/>
                <w:szCs w:val="20"/>
                <w:lang w:eastAsia="en-GB" w:bidi="ne-NP"/>
              </w:rPr>
              <w:t>)</w:t>
            </w:r>
            <w:r w:rsidRPr="00E10694">
              <w:rPr>
                <w:rFonts w:eastAsia="Times New Roman"/>
                <w:sz w:val="20"/>
                <w:szCs w:val="20"/>
                <w:lang w:eastAsia="en-GB" w:bidi="ne-NP"/>
              </w:rPr>
              <w:t xml:space="preserve"> 6.7. </w:t>
            </w:r>
            <w:r w:rsidR="00044223" w:rsidRPr="00E10694">
              <w:rPr>
                <w:rFonts w:eastAsia="Times New Roman"/>
                <w:sz w:val="20"/>
                <w:szCs w:val="20"/>
                <w:lang w:eastAsia="en-GB" w:bidi="ne-NP"/>
              </w:rPr>
              <w:t>a</w:t>
            </w:r>
            <w:r w:rsidR="009B71B9" w:rsidRPr="00E10694">
              <w:rPr>
                <w:rFonts w:eastAsia="Times New Roman"/>
                <w:sz w:val="20"/>
                <w:szCs w:val="20"/>
                <w:lang w:eastAsia="en-GB" w:bidi="ne-NP"/>
              </w:rPr>
              <w:t>pmācīti iestāžu 120 iekšējie auditori</w:t>
            </w:r>
            <w:r w:rsidR="0010684C" w:rsidRPr="00E10694">
              <w:rPr>
                <w:rFonts w:eastAsia="Times New Roman"/>
                <w:sz w:val="20"/>
                <w:szCs w:val="20"/>
                <w:lang w:eastAsia="en-GB" w:bidi="ne-NP"/>
              </w:rPr>
              <w:t>;</w:t>
            </w:r>
          </w:p>
          <w:p w14:paraId="1B7C5BD5" w14:textId="6479523F"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00044223" w:rsidRPr="00E10694">
              <w:rPr>
                <w:rFonts w:eastAsia="Times New Roman"/>
                <w:b/>
                <w:bCs/>
                <w:sz w:val="20"/>
                <w:szCs w:val="20"/>
                <w:lang w:eastAsia="en-GB" w:bidi="ne-NP"/>
              </w:rPr>
              <w:t>1</w:t>
            </w:r>
            <w:r w:rsidRPr="00E10694">
              <w:rPr>
                <w:rFonts w:eastAsia="Times New Roman"/>
                <w:b/>
                <w:bCs/>
                <w:sz w:val="20"/>
                <w:szCs w:val="20"/>
                <w:lang w:eastAsia="en-GB" w:bidi="ne-NP"/>
              </w:rPr>
              <w:t>)</w:t>
            </w:r>
            <w:r w:rsidRPr="00E10694">
              <w:rPr>
                <w:rFonts w:eastAsia="Times New Roman"/>
                <w:sz w:val="20"/>
                <w:szCs w:val="20"/>
                <w:lang w:eastAsia="en-GB" w:bidi="ne-NP"/>
              </w:rPr>
              <w:t xml:space="preserve"> 7.1. apmācīti </w:t>
            </w:r>
            <w:r w:rsidR="00DA4990" w:rsidRPr="00E10694">
              <w:rPr>
                <w:rFonts w:eastAsia="Times New Roman"/>
                <w:sz w:val="20"/>
                <w:szCs w:val="20"/>
                <w:lang w:eastAsia="en-GB" w:bidi="ne-NP"/>
              </w:rPr>
              <w:t xml:space="preserve"> 4</w:t>
            </w:r>
            <w:r w:rsidRPr="00E10694">
              <w:rPr>
                <w:rFonts w:eastAsia="Times New Roman"/>
                <w:sz w:val="20"/>
                <w:szCs w:val="20"/>
                <w:lang w:eastAsia="en-GB" w:bidi="ne-NP"/>
              </w:rPr>
              <w:t xml:space="preserve">00 </w:t>
            </w:r>
            <w:r w:rsidR="006C0EF1" w:rsidRPr="00E10694">
              <w:rPr>
                <w:rFonts w:eastAsia="Times New Roman"/>
                <w:sz w:val="20"/>
                <w:szCs w:val="20"/>
                <w:lang w:eastAsia="en-GB" w:bidi="ne-NP"/>
              </w:rPr>
              <w:t xml:space="preserve">ES fondu </w:t>
            </w:r>
            <w:r w:rsidR="0066472C" w:rsidRPr="00E10694">
              <w:rPr>
                <w:rFonts w:eastAsia="Times New Roman"/>
                <w:sz w:val="20"/>
                <w:szCs w:val="20"/>
                <w:lang w:eastAsia="en-GB" w:bidi="ne-NP"/>
              </w:rPr>
              <w:t xml:space="preserve">vadības un kontroles sistēmas institūciju pārstāvji un valsts pārvaldes darbinieki, kuri tieši vai netieši iesaistīti Kohēzijas politikas mērķu sasniegšanā, </w:t>
            </w:r>
            <w:r w:rsidRPr="00E10694">
              <w:rPr>
                <w:rFonts w:eastAsia="Times New Roman"/>
                <w:sz w:val="20"/>
                <w:szCs w:val="20"/>
                <w:lang w:eastAsia="en-GB" w:bidi="ne-NP"/>
              </w:rPr>
              <w:t>publiskā iepirkumu jomā</w:t>
            </w:r>
            <w:r w:rsidR="006A76C2" w:rsidRPr="00E10694">
              <w:rPr>
                <w:rFonts w:eastAsia="Times New Roman"/>
                <w:sz w:val="20"/>
                <w:szCs w:val="20"/>
                <w:lang w:eastAsia="en-GB" w:bidi="ne-NP"/>
              </w:rPr>
              <w:t>;</w:t>
            </w:r>
          </w:p>
          <w:p w14:paraId="0CDBACA9" w14:textId="288070F8"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00044223" w:rsidRPr="00E10694">
              <w:rPr>
                <w:rFonts w:eastAsia="Times New Roman"/>
                <w:b/>
                <w:bCs/>
                <w:sz w:val="20"/>
                <w:szCs w:val="20"/>
                <w:lang w:eastAsia="en-GB" w:bidi="ne-NP"/>
              </w:rPr>
              <w:t>2</w:t>
            </w:r>
            <w:r w:rsidRPr="00E10694">
              <w:rPr>
                <w:rFonts w:eastAsia="Times New Roman"/>
                <w:b/>
                <w:bCs/>
                <w:sz w:val="20"/>
                <w:szCs w:val="20"/>
                <w:lang w:eastAsia="en-GB" w:bidi="ne-NP"/>
              </w:rPr>
              <w:t>)</w:t>
            </w:r>
            <w:r w:rsidRPr="00E10694">
              <w:rPr>
                <w:rFonts w:eastAsia="Times New Roman"/>
                <w:sz w:val="20"/>
                <w:szCs w:val="20"/>
                <w:lang w:eastAsia="en-GB" w:bidi="ne-NP"/>
              </w:rPr>
              <w:t xml:space="preserve"> </w:t>
            </w:r>
            <w:r w:rsidR="006A76C2" w:rsidRPr="00E10694">
              <w:rPr>
                <w:rFonts w:eastAsia="Times New Roman"/>
                <w:sz w:val="20"/>
                <w:szCs w:val="20"/>
                <w:lang w:eastAsia="en-GB" w:bidi="ne-NP"/>
              </w:rPr>
              <w:t>7.2. a</w:t>
            </w:r>
            <w:r w:rsidRPr="00E10694">
              <w:rPr>
                <w:rFonts w:eastAsia="Times New Roman"/>
                <w:sz w:val="20"/>
                <w:szCs w:val="20"/>
                <w:lang w:eastAsia="en-GB" w:bidi="ne-NP"/>
              </w:rPr>
              <w:t xml:space="preserve">pmācīti </w:t>
            </w:r>
            <w:r w:rsidR="00CF3FB1" w:rsidRPr="00E10694">
              <w:rPr>
                <w:rFonts w:eastAsia="Times New Roman"/>
                <w:sz w:val="20"/>
                <w:szCs w:val="20"/>
                <w:lang w:eastAsia="en-GB" w:bidi="ne-NP"/>
              </w:rPr>
              <w:t>7</w:t>
            </w:r>
            <w:r w:rsidRPr="00E10694">
              <w:rPr>
                <w:rFonts w:eastAsia="Times New Roman"/>
                <w:sz w:val="20"/>
                <w:szCs w:val="20"/>
                <w:lang w:eastAsia="en-GB" w:bidi="ne-NP"/>
              </w:rPr>
              <w:t>00 ES fondu finansējuma saņēmēju darbinieki</w:t>
            </w:r>
            <w:r w:rsidRPr="00E10694">
              <w:t xml:space="preserve"> </w:t>
            </w:r>
            <w:r w:rsidRPr="00E10694">
              <w:rPr>
                <w:rFonts w:eastAsia="Times New Roman"/>
                <w:sz w:val="20"/>
                <w:szCs w:val="20"/>
                <w:lang w:eastAsia="en-GB" w:bidi="ne-NP"/>
              </w:rPr>
              <w:t>publiskā iepirkumu jomā</w:t>
            </w:r>
            <w:r w:rsidR="00CF3FB1" w:rsidRPr="00E10694">
              <w:rPr>
                <w:rFonts w:eastAsia="Times New Roman"/>
                <w:sz w:val="20"/>
                <w:szCs w:val="20"/>
                <w:lang w:eastAsia="en-GB" w:bidi="ne-NP"/>
              </w:rPr>
              <w:t xml:space="preserve">; izstrādāts </w:t>
            </w:r>
            <w:r w:rsidR="00696F92" w:rsidRPr="00E10694">
              <w:rPr>
                <w:rFonts w:eastAsia="Times New Roman"/>
                <w:sz w:val="20"/>
                <w:szCs w:val="20"/>
                <w:lang w:eastAsia="en-GB" w:bidi="ne-NP"/>
              </w:rPr>
              <w:t xml:space="preserve">1 </w:t>
            </w:r>
            <w:r w:rsidR="00CF3FB1" w:rsidRPr="00E10694">
              <w:rPr>
                <w:rFonts w:eastAsia="Times New Roman"/>
                <w:sz w:val="20"/>
                <w:szCs w:val="20"/>
                <w:lang w:eastAsia="en-GB" w:bidi="ne-NP"/>
              </w:rPr>
              <w:t>e-kurss</w:t>
            </w:r>
            <w:r w:rsidR="00696F92" w:rsidRPr="00E10694">
              <w:rPr>
                <w:rFonts w:eastAsia="Times New Roman"/>
                <w:sz w:val="20"/>
                <w:szCs w:val="20"/>
                <w:lang w:eastAsia="en-GB" w:bidi="ne-NP"/>
              </w:rPr>
              <w:t xml:space="preserve"> publiskā iepirkumu jomā</w:t>
            </w:r>
            <w:r w:rsidR="006A76C2" w:rsidRPr="00E10694">
              <w:rPr>
                <w:rFonts w:eastAsia="Times New Roman"/>
                <w:sz w:val="20"/>
                <w:szCs w:val="20"/>
                <w:lang w:eastAsia="en-GB" w:bidi="ne-NP"/>
              </w:rPr>
              <w:t>;</w:t>
            </w:r>
          </w:p>
          <w:p w14:paraId="627B7E4C" w14:textId="5CDCB0D1"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00044223" w:rsidRPr="00E10694">
              <w:rPr>
                <w:rFonts w:eastAsia="Times New Roman"/>
                <w:b/>
                <w:bCs/>
                <w:sz w:val="20"/>
                <w:szCs w:val="20"/>
                <w:lang w:eastAsia="en-GB" w:bidi="ne-NP"/>
              </w:rPr>
              <w:t>3</w:t>
            </w:r>
            <w:r w:rsidRPr="00E10694">
              <w:rPr>
                <w:rFonts w:eastAsia="Times New Roman"/>
                <w:b/>
                <w:bCs/>
                <w:sz w:val="20"/>
                <w:szCs w:val="20"/>
                <w:lang w:eastAsia="en-GB" w:bidi="ne-NP"/>
              </w:rPr>
              <w:t>)</w:t>
            </w:r>
            <w:r w:rsidRPr="00E10694">
              <w:rPr>
                <w:rFonts w:eastAsia="Times New Roman"/>
                <w:sz w:val="20"/>
                <w:szCs w:val="20"/>
                <w:lang w:eastAsia="en-GB" w:bidi="ne-NP"/>
              </w:rPr>
              <w:t xml:space="preserve"> 7.3.a </w:t>
            </w:r>
            <w:r w:rsidR="009B71B9" w:rsidRPr="00E10694">
              <w:rPr>
                <w:rFonts w:eastAsia="Times New Roman"/>
                <w:sz w:val="20"/>
                <w:szCs w:val="20"/>
                <w:lang w:eastAsia="en-GB" w:bidi="ne-NP"/>
              </w:rPr>
              <w:t xml:space="preserve">izstrādāts </w:t>
            </w:r>
            <w:r w:rsidR="00696F92" w:rsidRPr="00E10694">
              <w:rPr>
                <w:rFonts w:eastAsia="Times New Roman"/>
                <w:sz w:val="20"/>
                <w:szCs w:val="20"/>
                <w:lang w:eastAsia="en-GB" w:bidi="ne-NP"/>
              </w:rPr>
              <w:t xml:space="preserve">1 </w:t>
            </w:r>
            <w:r w:rsidR="009B71B9" w:rsidRPr="00E10694">
              <w:rPr>
                <w:rFonts w:eastAsia="Times New Roman"/>
                <w:sz w:val="20"/>
                <w:szCs w:val="20"/>
                <w:lang w:eastAsia="en-GB" w:bidi="ne-NP"/>
              </w:rPr>
              <w:t>e-kurss</w:t>
            </w:r>
            <w:r w:rsidR="00312067" w:rsidRPr="00E10694">
              <w:rPr>
                <w:rFonts w:eastAsia="Times New Roman"/>
                <w:sz w:val="20"/>
                <w:szCs w:val="20"/>
                <w:lang w:eastAsia="en-GB" w:bidi="ne-NP"/>
              </w:rPr>
              <w:t xml:space="preserve"> par valsts atbalsta noteikumu ievērošanu Kohēzijas politikas īstenošanā</w:t>
            </w:r>
            <w:r w:rsidR="006A76C2" w:rsidRPr="00E10694">
              <w:rPr>
                <w:rFonts w:eastAsia="Times New Roman"/>
                <w:sz w:val="20"/>
                <w:szCs w:val="20"/>
                <w:lang w:eastAsia="en-GB" w:bidi="ne-NP"/>
              </w:rPr>
              <w:t>;</w:t>
            </w:r>
          </w:p>
          <w:p w14:paraId="36A91E93" w14:textId="664837C1"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00044223" w:rsidRPr="00E10694">
              <w:rPr>
                <w:rFonts w:eastAsia="Times New Roman"/>
                <w:b/>
                <w:bCs/>
                <w:sz w:val="20"/>
                <w:szCs w:val="20"/>
                <w:lang w:eastAsia="en-GB" w:bidi="ne-NP"/>
              </w:rPr>
              <w:t>4</w:t>
            </w:r>
            <w:r w:rsidRPr="00E10694">
              <w:rPr>
                <w:rFonts w:eastAsia="Times New Roman"/>
                <w:b/>
                <w:bCs/>
                <w:sz w:val="20"/>
                <w:szCs w:val="20"/>
                <w:lang w:eastAsia="en-GB" w:bidi="ne-NP"/>
              </w:rPr>
              <w:t>)</w:t>
            </w:r>
            <w:r w:rsidRPr="00E10694">
              <w:rPr>
                <w:rFonts w:eastAsia="Times New Roman"/>
                <w:sz w:val="20"/>
                <w:szCs w:val="20"/>
                <w:lang w:eastAsia="en-GB" w:bidi="ne-NP"/>
              </w:rPr>
              <w:t xml:space="preserve"> 7.3.b </w:t>
            </w:r>
            <w:r w:rsidR="009B71B9" w:rsidRPr="00E10694">
              <w:rPr>
                <w:rFonts w:eastAsia="Times New Roman"/>
                <w:sz w:val="20"/>
                <w:szCs w:val="20"/>
                <w:lang w:eastAsia="en-GB" w:bidi="ne-NP"/>
              </w:rPr>
              <w:t xml:space="preserve">apmācīti </w:t>
            </w:r>
            <w:r w:rsidR="00304C42" w:rsidRPr="00E10694">
              <w:rPr>
                <w:rFonts w:eastAsia="Times New Roman"/>
                <w:sz w:val="20"/>
                <w:szCs w:val="20"/>
                <w:lang w:eastAsia="en-GB" w:bidi="ne-NP"/>
              </w:rPr>
              <w:t>3</w:t>
            </w:r>
            <w:r w:rsidR="009B71B9" w:rsidRPr="00E10694">
              <w:rPr>
                <w:rFonts w:eastAsia="Times New Roman"/>
                <w:sz w:val="20"/>
                <w:szCs w:val="20"/>
                <w:lang w:eastAsia="en-GB" w:bidi="ne-NP"/>
              </w:rPr>
              <w:t xml:space="preserve">00 </w:t>
            </w:r>
            <w:r w:rsidR="00B56C78" w:rsidRPr="00E10694">
              <w:rPr>
                <w:rFonts w:eastAsia="Times New Roman"/>
                <w:sz w:val="20"/>
                <w:szCs w:val="20"/>
                <w:lang w:eastAsia="en-GB" w:bidi="ne-NP"/>
              </w:rPr>
              <w:t xml:space="preserve"> </w:t>
            </w:r>
            <w:r w:rsidR="006C0EF1" w:rsidRPr="00E10694">
              <w:rPr>
                <w:rFonts w:eastAsia="Times New Roman"/>
                <w:sz w:val="20"/>
                <w:szCs w:val="20"/>
                <w:lang w:eastAsia="en-GB" w:bidi="ne-NP"/>
              </w:rPr>
              <w:t>E</w:t>
            </w:r>
            <w:r w:rsidR="003027D2" w:rsidRPr="00E10694">
              <w:rPr>
                <w:rFonts w:eastAsia="Times New Roman"/>
                <w:sz w:val="20"/>
                <w:szCs w:val="20"/>
                <w:lang w:eastAsia="en-GB" w:bidi="ne-NP"/>
              </w:rPr>
              <w:t>S</w:t>
            </w:r>
            <w:r w:rsidR="006C0EF1" w:rsidRPr="00E10694">
              <w:rPr>
                <w:rFonts w:eastAsia="Times New Roman"/>
                <w:sz w:val="20"/>
                <w:szCs w:val="20"/>
                <w:lang w:eastAsia="en-GB" w:bidi="ne-NP"/>
              </w:rPr>
              <w:t xml:space="preserve"> fondu </w:t>
            </w:r>
            <w:r w:rsidR="00B56C78" w:rsidRPr="00E10694">
              <w:rPr>
                <w:rFonts w:eastAsia="Times New Roman"/>
                <w:sz w:val="20"/>
                <w:szCs w:val="20"/>
                <w:lang w:eastAsia="en-GB" w:bidi="ne-NP"/>
              </w:rPr>
              <w:t xml:space="preserve">vadības un kontroles sistēmas institūciju pārstāvji un valsts pārvaldes darbinieki, kuri tieši vai netieši iesaistīti Kohēzijas politikas mērķu sasniegšanā, </w:t>
            </w:r>
            <w:r w:rsidR="009B71B9" w:rsidRPr="00E10694">
              <w:rPr>
                <w:rFonts w:eastAsia="Times New Roman"/>
                <w:sz w:val="20"/>
                <w:szCs w:val="20"/>
                <w:lang w:eastAsia="en-GB" w:bidi="ne-NP"/>
              </w:rPr>
              <w:t>valsts atbalsta jomā</w:t>
            </w:r>
            <w:r w:rsidR="006A76C2" w:rsidRPr="00E10694">
              <w:rPr>
                <w:rFonts w:eastAsia="Times New Roman"/>
                <w:sz w:val="20"/>
                <w:szCs w:val="20"/>
                <w:lang w:eastAsia="en-GB" w:bidi="ne-NP"/>
              </w:rPr>
              <w:t>;</w:t>
            </w:r>
          </w:p>
          <w:p w14:paraId="1106B5A3" w14:textId="73B82247"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00044223" w:rsidRPr="00E10694">
              <w:rPr>
                <w:rFonts w:eastAsia="Times New Roman"/>
                <w:b/>
                <w:bCs/>
                <w:sz w:val="20"/>
                <w:szCs w:val="20"/>
                <w:lang w:eastAsia="en-GB" w:bidi="ne-NP"/>
              </w:rPr>
              <w:t>5</w:t>
            </w:r>
            <w:r w:rsidRPr="00E10694">
              <w:rPr>
                <w:rFonts w:eastAsia="Times New Roman"/>
                <w:b/>
                <w:bCs/>
                <w:sz w:val="20"/>
                <w:szCs w:val="20"/>
                <w:lang w:eastAsia="en-GB" w:bidi="ne-NP"/>
              </w:rPr>
              <w:t>)</w:t>
            </w:r>
            <w:r w:rsidRPr="00E10694">
              <w:rPr>
                <w:rFonts w:eastAsia="Times New Roman"/>
                <w:sz w:val="20"/>
                <w:szCs w:val="20"/>
                <w:lang w:eastAsia="en-GB" w:bidi="ne-NP"/>
              </w:rPr>
              <w:t xml:space="preserve"> 7.4. </w:t>
            </w:r>
            <w:r w:rsidR="00D63F30" w:rsidRPr="00E10694">
              <w:rPr>
                <w:rFonts w:eastAsia="Times New Roman"/>
                <w:sz w:val="20"/>
                <w:szCs w:val="20"/>
                <w:lang w:eastAsia="en-GB" w:bidi="ne-NP"/>
              </w:rPr>
              <w:t>a</w:t>
            </w:r>
            <w:r w:rsidRPr="00E10694">
              <w:rPr>
                <w:rFonts w:eastAsia="Times New Roman"/>
                <w:sz w:val="20"/>
                <w:szCs w:val="20"/>
                <w:lang w:eastAsia="en-GB" w:bidi="ne-NP"/>
              </w:rPr>
              <w:t xml:space="preserve">pmācīti </w:t>
            </w:r>
            <w:r w:rsidR="00304C42" w:rsidRPr="00E10694">
              <w:rPr>
                <w:rFonts w:eastAsia="Times New Roman"/>
                <w:sz w:val="20"/>
                <w:szCs w:val="20"/>
                <w:lang w:eastAsia="en-GB" w:bidi="ne-NP"/>
              </w:rPr>
              <w:t>4</w:t>
            </w:r>
            <w:r w:rsidRPr="00E10694">
              <w:rPr>
                <w:rFonts w:eastAsia="Times New Roman"/>
                <w:sz w:val="20"/>
                <w:szCs w:val="20"/>
                <w:lang w:eastAsia="en-GB" w:bidi="ne-NP"/>
              </w:rPr>
              <w:t>00 ES fondu finansējuma saņēmēju darbinieki valsts atbalsta jomā</w:t>
            </w:r>
            <w:r w:rsidR="006A76C2" w:rsidRPr="00E10694">
              <w:rPr>
                <w:rFonts w:eastAsia="Times New Roman"/>
                <w:sz w:val="20"/>
                <w:szCs w:val="20"/>
                <w:lang w:eastAsia="en-GB" w:bidi="ne-NP"/>
              </w:rPr>
              <w:t>;</w:t>
            </w:r>
          </w:p>
          <w:p w14:paraId="4972E596" w14:textId="341DCE37"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00044223" w:rsidRPr="00E10694">
              <w:rPr>
                <w:rFonts w:eastAsia="Times New Roman"/>
                <w:b/>
                <w:bCs/>
                <w:sz w:val="20"/>
                <w:szCs w:val="20"/>
                <w:lang w:eastAsia="en-GB" w:bidi="ne-NP"/>
              </w:rPr>
              <w:t>6</w:t>
            </w:r>
            <w:r w:rsidRPr="00E10694">
              <w:rPr>
                <w:rFonts w:eastAsia="Times New Roman"/>
                <w:b/>
                <w:bCs/>
                <w:sz w:val="20"/>
                <w:szCs w:val="20"/>
                <w:lang w:eastAsia="en-GB" w:bidi="ne-NP"/>
              </w:rPr>
              <w:t>)</w:t>
            </w:r>
            <w:r w:rsidRPr="00E10694">
              <w:rPr>
                <w:rFonts w:eastAsia="Times New Roman"/>
                <w:sz w:val="20"/>
                <w:szCs w:val="20"/>
                <w:lang w:eastAsia="en-GB" w:bidi="ne-NP"/>
              </w:rPr>
              <w:t xml:space="preserve"> 7.5.a </w:t>
            </w:r>
            <w:r w:rsidR="006A76C2" w:rsidRPr="00E10694">
              <w:rPr>
                <w:rFonts w:eastAsia="Times New Roman"/>
                <w:sz w:val="20"/>
                <w:szCs w:val="20"/>
                <w:lang w:eastAsia="en-GB" w:bidi="ne-NP"/>
              </w:rPr>
              <w:t>i</w:t>
            </w:r>
            <w:r w:rsidR="009B71B9" w:rsidRPr="00E10694">
              <w:rPr>
                <w:rFonts w:eastAsia="Times New Roman"/>
                <w:sz w:val="20"/>
                <w:szCs w:val="20"/>
                <w:lang w:eastAsia="en-GB" w:bidi="ne-NP"/>
              </w:rPr>
              <w:t xml:space="preserve">zstrādāts </w:t>
            </w:r>
            <w:r w:rsidR="00696F92" w:rsidRPr="00E10694">
              <w:rPr>
                <w:rFonts w:eastAsia="Times New Roman"/>
                <w:sz w:val="20"/>
                <w:szCs w:val="20"/>
                <w:lang w:eastAsia="en-GB" w:bidi="ne-NP"/>
              </w:rPr>
              <w:t xml:space="preserve">1 </w:t>
            </w:r>
            <w:r w:rsidR="009B71B9" w:rsidRPr="00E10694">
              <w:rPr>
                <w:rFonts w:eastAsia="Times New Roman"/>
                <w:sz w:val="20"/>
                <w:szCs w:val="20"/>
                <w:lang w:eastAsia="en-GB" w:bidi="ne-NP"/>
              </w:rPr>
              <w:t>e-kurss</w:t>
            </w:r>
            <w:r w:rsidR="00312067" w:rsidRPr="00E10694">
              <w:rPr>
                <w:rFonts w:eastAsia="Times New Roman"/>
                <w:sz w:val="20"/>
                <w:szCs w:val="20"/>
                <w:lang w:eastAsia="en-GB" w:bidi="ne-NP"/>
              </w:rPr>
              <w:t xml:space="preserve"> par </w:t>
            </w:r>
            <w:r w:rsidR="003F3C43" w:rsidRPr="00E10694">
              <w:rPr>
                <w:rFonts w:eastAsia="Times New Roman"/>
                <w:sz w:val="20"/>
                <w:szCs w:val="20"/>
                <w:lang w:eastAsia="en-GB" w:bidi="ne-NP"/>
              </w:rPr>
              <w:t>interešu konflikta, krāpšanas un korupcijas novēršanu Kohēzijas politikas īstenošanā</w:t>
            </w:r>
            <w:r w:rsidR="006A76C2" w:rsidRPr="00E10694">
              <w:rPr>
                <w:rFonts w:eastAsia="Times New Roman"/>
                <w:sz w:val="20"/>
                <w:szCs w:val="20"/>
                <w:lang w:eastAsia="en-GB" w:bidi="ne-NP"/>
              </w:rPr>
              <w:t>;</w:t>
            </w:r>
          </w:p>
          <w:p w14:paraId="57DE8E3F" w14:textId="3BD38686"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00044223" w:rsidRPr="00E10694">
              <w:rPr>
                <w:rFonts w:eastAsia="Times New Roman"/>
                <w:b/>
                <w:bCs/>
                <w:sz w:val="20"/>
                <w:szCs w:val="20"/>
                <w:lang w:eastAsia="en-GB" w:bidi="ne-NP"/>
              </w:rPr>
              <w:t>7</w:t>
            </w:r>
            <w:r w:rsidRPr="00E10694">
              <w:rPr>
                <w:rFonts w:eastAsia="Times New Roman"/>
                <w:b/>
                <w:bCs/>
                <w:sz w:val="20"/>
                <w:szCs w:val="20"/>
                <w:lang w:eastAsia="en-GB" w:bidi="ne-NP"/>
              </w:rPr>
              <w:t>)</w:t>
            </w:r>
            <w:r w:rsidRPr="00E10694">
              <w:rPr>
                <w:rFonts w:eastAsia="Times New Roman"/>
                <w:sz w:val="20"/>
                <w:szCs w:val="20"/>
                <w:lang w:eastAsia="en-GB" w:bidi="ne-NP"/>
              </w:rPr>
              <w:t xml:space="preserve"> 7.5.b </w:t>
            </w:r>
            <w:r w:rsidR="00044223" w:rsidRPr="00E10694">
              <w:rPr>
                <w:rFonts w:eastAsia="Times New Roman"/>
                <w:sz w:val="20"/>
                <w:szCs w:val="20"/>
                <w:lang w:eastAsia="en-GB" w:bidi="ne-NP"/>
              </w:rPr>
              <w:t>a</w:t>
            </w:r>
            <w:r w:rsidR="009B71B9" w:rsidRPr="00E10694">
              <w:rPr>
                <w:rFonts w:eastAsia="Times New Roman"/>
                <w:sz w:val="20"/>
                <w:szCs w:val="20"/>
                <w:lang w:eastAsia="en-GB" w:bidi="ne-NP"/>
              </w:rPr>
              <w:t>pmācīti 500 ES fondu finansējuma saņēmēju darbinieki interešu konflikta, korupcijas un krāpšanas novēršanas jomā</w:t>
            </w:r>
            <w:r w:rsidR="006A76C2" w:rsidRPr="00E10694">
              <w:rPr>
                <w:rFonts w:eastAsia="Times New Roman"/>
                <w:sz w:val="20"/>
                <w:szCs w:val="20"/>
                <w:lang w:eastAsia="en-GB" w:bidi="ne-NP"/>
              </w:rPr>
              <w:t>;</w:t>
            </w:r>
          </w:p>
          <w:p w14:paraId="1003F02A" w14:textId="670E1ABE"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00044223" w:rsidRPr="00E10694">
              <w:rPr>
                <w:rFonts w:eastAsia="Times New Roman"/>
                <w:b/>
                <w:bCs/>
                <w:sz w:val="20"/>
                <w:szCs w:val="20"/>
                <w:lang w:eastAsia="en-GB" w:bidi="ne-NP"/>
              </w:rPr>
              <w:t>8</w:t>
            </w:r>
            <w:r w:rsidRPr="00E10694">
              <w:rPr>
                <w:rFonts w:eastAsia="Times New Roman"/>
                <w:b/>
                <w:bCs/>
                <w:sz w:val="20"/>
                <w:szCs w:val="20"/>
                <w:lang w:eastAsia="en-GB" w:bidi="ne-NP"/>
              </w:rPr>
              <w:t>)</w:t>
            </w:r>
            <w:r w:rsidRPr="00E10694">
              <w:rPr>
                <w:rFonts w:eastAsia="Times New Roman"/>
                <w:sz w:val="20"/>
                <w:szCs w:val="20"/>
                <w:lang w:eastAsia="en-GB" w:bidi="ne-NP"/>
              </w:rPr>
              <w:t xml:space="preserve"> 7.6. </w:t>
            </w:r>
            <w:r w:rsidR="00044223" w:rsidRPr="00E10694">
              <w:rPr>
                <w:rFonts w:eastAsia="Times New Roman"/>
                <w:sz w:val="20"/>
                <w:szCs w:val="20"/>
                <w:lang w:eastAsia="en-GB" w:bidi="ne-NP"/>
              </w:rPr>
              <w:t>a</w:t>
            </w:r>
            <w:r w:rsidRPr="00E10694">
              <w:rPr>
                <w:rFonts w:eastAsia="Times New Roman"/>
                <w:sz w:val="20"/>
                <w:szCs w:val="20"/>
                <w:lang w:eastAsia="en-GB" w:bidi="ne-NP"/>
              </w:rPr>
              <w:t xml:space="preserve">pmācīti </w:t>
            </w:r>
            <w:r w:rsidR="00304C42" w:rsidRPr="00E10694">
              <w:rPr>
                <w:rFonts w:eastAsia="Times New Roman"/>
                <w:sz w:val="20"/>
                <w:szCs w:val="20"/>
                <w:lang w:eastAsia="en-GB" w:bidi="ne-NP"/>
              </w:rPr>
              <w:t>5</w:t>
            </w:r>
            <w:r w:rsidRPr="00E10694">
              <w:rPr>
                <w:rFonts w:eastAsia="Times New Roman"/>
                <w:sz w:val="20"/>
                <w:szCs w:val="20"/>
                <w:lang w:eastAsia="en-GB" w:bidi="ne-NP"/>
              </w:rPr>
              <w:t xml:space="preserve">00 </w:t>
            </w:r>
            <w:r w:rsidR="006C0EF1" w:rsidRPr="00E10694">
              <w:rPr>
                <w:rFonts w:eastAsia="Times New Roman"/>
                <w:sz w:val="20"/>
                <w:szCs w:val="20"/>
                <w:lang w:eastAsia="en-GB" w:bidi="ne-NP"/>
              </w:rPr>
              <w:t xml:space="preserve">ES fondu </w:t>
            </w:r>
            <w:r w:rsidR="00B56C78" w:rsidRPr="00E10694">
              <w:rPr>
                <w:rFonts w:eastAsia="Times New Roman"/>
                <w:sz w:val="20"/>
                <w:szCs w:val="20"/>
                <w:lang w:eastAsia="en-GB" w:bidi="ne-NP"/>
              </w:rPr>
              <w:t xml:space="preserve">vadības un kontroles sistēmas institūciju pārstāvji un valsts pārvaldes darbinieki, kuri tieši vai netieši iesaistīti Kohēzijas politikas mērķu sasniegšanā, </w:t>
            </w:r>
            <w:r w:rsidRPr="00E10694">
              <w:rPr>
                <w:rFonts w:eastAsia="Times New Roman"/>
                <w:sz w:val="20"/>
                <w:szCs w:val="20"/>
                <w:lang w:eastAsia="en-GB" w:bidi="ne-NP"/>
              </w:rPr>
              <w:t>interešu konflikta, korupcijas un krāpšanas novēršanas jomā</w:t>
            </w:r>
            <w:r w:rsidR="006A76C2" w:rsidRPr="00E10694">
              <w:rPr>
                <w:rFonts w:eastAsia="Times New Roman"/>
                <w:sz w:val="20"/>
                <w:szCs w:val="20"/>
                <w:lang w:eastAsia="en-GB" w:bidi="ne-NP"/>
              </w:rPr>
              <w:t>;</w:t>
            </w:r>
          </w:p>
          <w:p w14:paraId="4F388664" w14:textId="23528D54" w:rsidR="00D426D8" w:rsidRPr="00E10694" w:rsidRDefault="00044223"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lastRenderedPageBreak/>
              <w:t>19</w:t>
            </w:r>
            <w:r w:rsidR="00D426D8" w:rsidRPr="00E10694">
              <w:rPr>
                <w:rFonts w:eastAsia="Times New Roman"/>
                <w:b/>
                <w:bCs/>
                <w:sz w:val="20"/>
                <w:szCs w:val="20"/>
                <w:lang w:eastAsia="en-GB" w:bidi="ne-NP"/>
              </w:rPr>
              <w:t>)</w:t>
            </w:r>
            <w:r w:rsidR="00D426D8" w:rsidRPr="00E10694">
              <w:rPr>
                <w:rFonts w:eastAsia="Times New Roman"/>
                <w:sz w:val="20"/>
                <w:szCs w:val="20"/>
                <w:lang w:eastAsia="en-GB" w:bidi="ne-NP"/>
              </w:rPr>
              <w:t xml:space="preserve"> 8.1. </w:t>
            </w:r>
            <w:r w:rsidRPr="00E10694">
              <w:rPr>
                <w:rFonts w:eastAsia="Times New Roman"/>
                <w:sz w:val="20"/>
                <w:szCs w:val="20"/>
                <w:lang w:eastAsia="en-GB" w:bidi="ne-NP"/>
              </w:rPr>
              <w:t>a</w:t>
            </w:r>
            <w:r w:rsidR="00D426D8" w:rsidRPr="00E10694">
              <w:rPr>
                <w:rFonts w:eastAsia="Times New Roman"/>
                <w:sz w:val="20"/>
                <w:szCs w:val="20"/>
                <w:lang w:eastAsia="en-GB" w:bidi="ne-NP"/>
              </w:rPr>
              <w:t>pmācīt</w:t>
            </w:r>
            <w:r w:rsidR="00304C42" w:rsidRPr="00E10694">
              <w:rPr>
                <w:rFonts w:eastAsia="Times New Roman"/>
                <w:sz w:val="20"/>
                <w:szCs w:val="20"/>
                <w:lang w:eastAsia="en-GB" w:bidi="ne-NP"/>
              </w:rPr>
              <w:t>i</w:t>
            </w:r>
            <w:r w:rsidR="00D426D8" w:rsidRPr="00E10694">
              <w:rPr>
                <w:rFonts w:eastAsia="Times New Roman"/>
                <w:sz w:val="20"/>
                <w:szCs w:val="20"/>
                <w:lang w:eastAsia="en-GB" w:bidi="ne-NP"/>
              </w:rPr>
              <w:t xml:space="preserve"> </w:t>
            </w:r>
            <w:r w:rsidR="00304C42" w:rsidRPr="00E10694">
              <w:rPr>
                <w:rFonts w:eastAsia="Times New Roman"/>
                <w:sz w:val="20"/>
                <w:szCs w:val="20"/>
                <w:lang w:eastAsia="en-GB" w:bidi="ne-NP"/>
              </w:rPr>
              <w:t>68</w:t>
            </w:r>
            <w:r w:rsidR="00D426D8" w:rsidRPr="00E10694">
              <w:rPr>
                <w:rFonts w:eastAsia="Times New Roman"/>
                <w:sz w:val="20"/>
                <w:szCs w:val="20"/>
                <w:lang w:eastAsia="en-GB" w:bidi="ne-NP"/>
              </w:rPr>
              <w:t xml:space="preserve">0 </w:t>
            </w:r>
            <w:r w:rsidR="006C0EF1" w:rsidRPr="00E10694">
              <w:rPr>
                <w:rFonts w:eastAsia="Times New Roman"/>
                <w:sz w:val="20"/>
                <w:szCs w:val="20"/>
                <w:lang w:eastAsia="en-GB" w:bidi="ne-NP"/>
              </w:rPr>
              <w:t xml:space="preserve">ES fondu </w:t>
            </w:r>
            <w:r w:rsidR="00B56C78" w:rsidRPr="00E10694">
              <w:rPr>
                <w:rFonts w:eastAsia="Times New Roman"/>
                <w:sz w:val="20"/>
                <w:szCs w:val="20"/>
                <w:lang w:eastAsia="en-GB" w:bidi="ne-NP"/>
              </w:rPr>
              <w:t xml:space="preserve">vadības un kontroles sistēmas institūciju pārstāvji un valsts pārvaldes darbinieki, kuri tieši vai netieši iesaistīti Kohēzijas politikas mērķu sasniegšanā, </w:t>
            </w:r>
            <w:r w:rsidR="00E5746E" w:rsidRPr="00E10694">
              <w:rPr>
                <w:rFonts w:eastAsia="Times New Roman"/>
                <w:sz w:val="20"/>
                <w:szCs w:val="20"/>
                <w:lang w:eastAsia="en-GB" w:bidi="ne-NP"/>
              </w:rPr>
              <w:t xml:space="preserve">par Kohēzijas politikas fondu plānošanu, vadību, </w:t>
            </w:r>
            <w:proofErr w:type="spellStart"/>
            <w:r w:rsidR="00E5746E" w:rsidRPr="00E10694">
              <w:rPr>
                <w:rFonts w:eastAsia="Times New Roman"/>
                <w:sz w:val="20"/>
                <w:szCs w:val="20"/>
                <w:lang w:eastAsia="en-GB" w:bidi="ne-NP"/>
              </w:rPr>
              <w:t>ex-ante</w:t>
            </w:r>
            <w:proofErr w:type="spellEnd"/>
            <w:r w:rsidR="00E5746E" w:rsidRPr="00E10694">
              <w:rPr>
                <w:rFonts w:eastAsia="Times New Roman"/>
                <w:sz w:val="20"/>
                <w:szCs w:val="20"/>
                <w:lang w:eastAsia="en-GB" w:bidi="ne-NP"/>
              </w:rPr>
              <w:t xml:space="preserve"> un </w:t>
            </w:r>
            <w:proofErr w:type="spellStart"/>
            <w:r w:rsidR="00E5746E" w:rsidRPr="00E10694">
              <w:rPr>
                <w:rFonts w:eastAsia="Times New Roman"/>
                <w:sz w:val="20"/>
                <w:szCs w:val="20"/>
                <w:lang w:eastAsia="en-GB" w:bidi="ne-NP"/>
              </w:rPr>
              <w:t>ex</w:t>
            </w:r>
            <w:proofErr w:type="spellEnd"/>
            <w:r w:rsidR="00E5746E" w:rsidRPr="00E10694">
              <w:rPr>
                <w:rFonts w:eastAsia="Times New Roman"/>
                <w:sz w:val="20"/>
                <w:szCs w:val="20"/>
                <w:lang w:eastAsia="en-GB" w:bidi="ne-NP"/>
              </w:rPr>
              <w:t>-post novērtējumu, rezultātu sasniegšanu un to publicitātes nodrošināšanu;</w:t>
            </w:r>
          </w:p>
          <w:p w14:paraId="4823E839" w14:textId="0B5D54B2"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2</w:t>
            </w:r>
            <w:r w:rsidR="00044223" w:rsidRPr="00E10694">
              <w:rPr>
                <w:rFonts w:eastAsia="Times New Roman"/>
                <w:b/>
                <w:bCs/>
                <w:sz w:val="20"/>
                <w:szCs w:val="20"/>
                <w:lang w:eastAsia="en-GB" w:bidi="ne-NP"/>
              </w:rPr>
              <w:t>0</w:t>
            </w:r>
            <w:r w:rsidRPr="00E10694">
              <w:rPr>
                <w:rFonts w:eastAsia="Times New Roman"/>
                <w:b/>
                <w:bCs/>
                <w:sz w:val="20"/>
                <w:szCs w:val="20"/>
                <w:lang w:eastAsia="en-GB" w:bidi="ne-NP"/>
              </w:rPr>
              <w:t>)</w:t>
            </w:r>
            <w:r w:rsidRPr="00E10694">
              <w:rPr>
                <w:rFonts w:eastAsia="Times New Roman"/>
                <w:sz w:val="20"/>
                <w:szCs w:val="20"/>
                <w:lang w:eastAsia="en-GB" w:bidi="ne-NP"/>
              </w:rPr>
              <w:t xml:space="preserve"> 10.5. </w:t>
            </w:r>
            <w:r w:rsidR="006A76C2" w:rsidRPr="00E10694">
              <w:rPr>
                <w:rFonts w:eastAsia="Times New Roman"/>
                <w:sz w:val="20"/>
                <w:szCs w:val="20"/>
                <w:lang w:eastAsia="en-GB" w:bidi="ne-NP"/>
              </w:rPr>
              <w:t>u</w:t>
            </w:r>
            <w:r w:rsidRPr="00E10694">
              <w:rPr>
                <w:rFonts w:eastAsia="Times New Roman"/>
                <w:sz w:val="20"/>
                <w:szCs w:val="20"/>
                <w:lang w:eastAsia="en-GB" w:bidi="ne-NP"/>
              </w:rPr>
              <w:t>zlabota Iepirkumu uzraudzības biroja tīmekļa vietne</w:t>
            </w:r>
            <w:r w:rsidR="0082764A" w:rsidRPr="00E10694">
              <w:rPr>
                <w:rFonts w:eastAsia="Times New Roman"/>
                <w:sz w:val="20"/>
                <w:szCs w:val="20"/>
                <w:lang w:eastAsia="en-GB" w:bidi="ne-NP"/>
              </w:rPr>
              <w:t xml:space="preserve"> (1 tīmekļa vietne)</w:t>
            </w:r>
            <w:r w:rsidR="006A76C2" w:rsidRPr="00E10694">
              <w:rPr>
                <w:rFonts w:eastAsia="Times New Roman"/>
                <w:sz w:val="20"/>
                <w:szCs w:val="20"/>
                <w:lang w:eastAsia="en-GB" w:bidi="ne-NP"/>
              </w:rPr>
              <w:t>;</w:t>
            </w:r>
          </w:p>
          <w:p w14:paraId="5EBF36F1" w14:textId="303B344B" w:rsidR="00D426D8" w:rsidRPr="00E10694" w:rsidRDefault="00D426D8" w:rsidP="00676EE3">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2</w:t>
            </w:r>
            <w:r w:rsidR="00E86405" w:rsidRPr="00E10694">
              <w:rPr>
                <w:rFonts w:eastAsia="Times New Roman"/>
                <w:b/>
                <w:bCs/>
                <w:sz w:val="20"/>
                <w:szCs w:val="20"/>
                <w:lang w:eastAsia="en-GB" w:bidi="ne-NP"/>
              </w:rPr>
              <w:t>1</w:t>
            </w:r>
            <w:r w:rsidRPr="00E10694">
              <w:rPr>
                <w:rFonts w:eastAsia="Times New Roman"/>
                <w:b/>
                <w:bCs/>
                <w:sz w:val="20"/>
                <w:szCs w:val="20"/>
                <w:lang w:eastAsia="en-GB" w:bidi="ne-NP"/>
              </w:rPr>
              <w:t>)</w:t>
            </w:r>
            <w:r w:rsidRPr="00E10694">
              <w:rPr>
                <w:rFonts w:eastAsia="Times New Roman"/>
                <w:sz w:val="20"/>
                <w:szCs w:val="20"/>
                <w:lang w:eastAsia="en-GB" w:bidi="ne-NP"/>
              </w:rPr>
              <w:t xml:space="preserve"> 11.1.a </w:t>
            </w:r>
            <w:r w:rsidR="0049074E" w:rsidRPr="00E10694">
              <w:rPr>
                <w:rFonts w:eastAsia="Times New Roman"/>
                <w:sz w:val="20"/>
                <w:szCs w:val="20"/>
                <w:lang w:eastAsia="en-GB" w:bidi="ne-NP"/>
              </w:rPr>
              <w:t xml:space="preserve">izstrādāts </w:t>
            </w:r>
            <w:r w:rsidR="00696F92" w:rsidRPr="00E10694">
              <w:rPr>
                <w:rFonts w:eastAsia="Times New Roman"/>
                <w:sz w:val="20"/>
                <w:szCs w:val="20"/>
                <w:lang w:eastAsia="en-GB" w:bidi="ne-NP"/>
              </w:rPr>
              <w:t xml:space="preserve">1 </w:t>
            </w:r>
            <w:r w:rsidR="0049074E" w:rsidRPr="00E10694">
              <w:rPr>
                <w:rFonts w:eastAsia="Times New Roman"/>
                <w:sz w:val="20"/>
                <w:szCs w:val="20"/>
                <w:lang w:eastAsia="en-GB" w:bidi="ne-NP"/>
              </w:rPr>
              <w:t>e-kurss</w:t>
            </w:r>
            <w:r w:rsidR="00CB0A83" w:rsidRPr="00E10694">
              <w:rPr>
                <w:rFonts w:eastAsia="Times New Roman"/>
                <w:sz w:val="20"/>
                <w:szCs w:val="20"/>
                <w:lang w:eastAsia="en-GB" w:bidi="ne-NP"/>
              </w:rPr>
              <w:t xml:space="preserve"> datu analīzes un risku pārvaldības spēju stiprināšanai</w:t>
            </w:r>
            <w:r w:rsidR="001B1826" w:rsidRPr="00E10694">
              <w:rPr>
                <w:rFonts w:eastAsia="Times New Roman"/>
                <w:sz w:val="20"/>
                <w:szCs w:val="20"/>
                <w:lang w:eastAsia="en-GB" w:bidi="ne-NP"/>
              </w:rPr>
              <w:t>;</w:t>
            </w:r>
          </w:p>
          <w:p w14:paraId="7EF00B1B" w14:textId="2F18C8AE" w:rsidR="00D426D8" w:rsidRPr="00E10694" w:rsidRDefault="00D426D8" w:rsidP="00AB2E2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2</w:t>
            </w:r>
            <w:r w:rsidR="00E86405" w:rsidRPr="00E10694">
              <w:rPr>
                <w:rFonts w:eastAsia="Times New Roman"/>
                <w:b/>
                <w:bCs/>
                <w:sz w:val="20"/>
                <w:szCs w:val="20"/>
                <w:lang w:eastAsia="en-GB" w:bidi="ne-NP"/>
              </w:rPr>
              <w:t>2</w:t>
            </w:r>
            <w:r w:rsidRPr="00E10694">
              <w:rPr>
                <w:rFonts w:eastAsia="Times New Roman"/>
                <w:b/>
                <w:bCs/>
                <w:sz w:val="20"/>
                <w:szCs w:val="20"/>
                <w:lang w:eastAsia="en-GB" w:bidi="ne-NP"/>
              </w:rPr>
              <w:t>)</w:t>
            </w:r>
            <w:r w:rsidRPr="00E10694">
              <w:rPr>
                <w:rFonts w:eastAsia="Times New Roman"/>
                <w:sz w:val="20"/>
                <w:szCs w:val="20"/>
                <w:lang w:eastAsia="en-GB" w:bidi="ne-NP"/>
              </w:rPr>
              <w:t xml:space="preserve"> 11.1.b </w:t>
            </w:r>
            <w:r w:rsidR="0049074E" w:rsidRPr="00E10694">
              <w:rPr>
                <w:rFonts w:eastAsia="Times New Roman"/>
                <w:sz w:val="20"/>
                <w:szCs w:val="20"/>
                <w:lang w:eastAsia="en-GB" w:bidi="ne-NP"/>
              </w:rPr>
              <w:t>– apmācīt</w:t>
            </w:r>
            <w:r w:rsidR="001675F2" w:rsidRPr="00E10694">
              <w:rPr>
                <w:rFonts w:eastAsia="Times New Roman"/>
                <w:sz w:val="20"/>
                <w:szCs w:val="20"/>
                <w:lang w:eastAsia="en-GB" w:bidi="ne-NP"/>
              </w:rPr>
              <w:t>i</w:t>
            </w:r>
            <w:r w:rsidR="0049074E" w:rsidRPr="00E10694">
              <w:rPr>
                <w:rFonts w:eastAsia="Times New Roman"/>
                <w:sz w:val="20"/>
                <w:szCs w:val="20"/>
                <w:lang w:eastAsia="en-GB" w:bidi="ne-NP"/>
              </w:rPr>
              <w:t xml:space="preserve"> </w:t>
            </w:r>
            <w:r w:rsidR="00133396" w:rsidRPr="00E10694">
              <w:rPr>
                <w:rFonts w:eastAsia="Times New Roman"/>
                <w:sz w:val="20"/>
                <w:szCs w:val="20"/>
                <w:lang w:eastAsia="en-GB" w:bidi="ne-NP"/>
              </w:rPr>
              <w:t xml:space="preserve">300 </w:t>
            </w:r>
            <w:r w:rsidR="00244E4F" w:rsidRPr="00E10694">
              <w:rPr>
                <w:rFonts w:eastAsia="Times New Roman"/>
                <w:sz w:val="20"/>
                <w:szCs w:val="20"/>
                <w:lang w:eastAsia="en-GB" w:bidi="ne-NP"/>
              </w:rPr>
              <w:t xml:space="preserve">ES fondu </w:t>
            </w:r>
            <w:r w:rsidR="00B56C78" w:rsidRPr="00E10694">
              <w:rPr>
                <w:rFonts w:eastAsia="Times New Roman"/>
                <w:sz w:val="20"/>
                <w:szCs w:val="20"/>
                <w:lang w:eastAsia="en-GB" w:bidi="ne-NP"/>
              </w:rPr>
              <w:t xml:space="preserve">vadības un kontroles sistēmas institūciju pārstāvji un valsts pārvaldes darbinieki, kuri tieši vai netieši iesaistīti Kohēzijas politikas mērķu sasniegšanā, </w:t>
            </w:r>
            <w:r w:rsidR="00CB0A83" w:rsidRPr="00E10694">
              <w:rPr>
                <w:rFonts w:eastAsia="Times New Roman"/>
                <w:sz w:val="20"/>
                <w:szCs w:val="20"/>
                <w:lang w:eastAsia="en-GB" w:bidi="ne-NP"/>
              </w:rPr>
              <w:t>par datu analīzi un risku pārvaldību.</w:t>
            </w:r>
          </w:p>
          <w:p w14:paraId="03FBB9A6" w14:textId="6B0DCDA6" w:rsidR="00BB481B" w:rsidRPr="00E10694" w:rsidRDefault="00BB481B" w:rsidP="00AB2E2C">
            <w:pPr>
              <w:spacing w:after="60" w:line="240" w:lineRule="auto"/>
              <w:ind w:left="136" w:right="142"/>
              <w:jc w:val="both"/>
              <w:rPr>
                <w:rFonts w:eastAsia="Times New Roman"/>
                <w:sz w:val="20"/>
                <w:szCs w:val="20"/>
                <w:lang w:eastAsia="en-GB" w:bidi="ne-NP"/>
              </w:rPr>
            </w:pPr>
          </w:p>
          <w:p w14:paraId="0B9749ED" w14:textId="3AF7E69C" w:rsidR="00BB481B" w:rsidRPr="00E10694" w:rsidRDefault="00BB481B" w:rsidP="00BB481B">
            <w:pPr>
              <w:spacing w:after="60" w:line="240" w:lineRule="auto"/>
              <w:ind w:left="136" w:right="142"/>
              <w:jc w:val="both"/>
              <w:rPr>
                <w:rFonts w:eastAsia="Times New Roman"/>
                <w:sz w:val="20"/>
                <w:szCs w:val="20"/>
                <w:lang w:eastAsia="en-GB" w:bidi="ne-NP"/>
              </w:rPr>
            </w:pPr>
            <w:r w:rsidRPr="00E10694">
              <w:rPr>
                <w:rFonts w:eastAsia="Times New Roman"/>
                <w:sz w:val="20"/>
                <w:szCs w:val="20"/>
                <w:lang w:eastAsia="en-GB" w:bidi="ne-NP"/>
              </w:rPr>
              <w:t xml:space="preserve">Finansējums tiek </w:t>
            </w:r>
            <w:r w:rsidR="008156B1" w:rsidRPr="00E10694">
              <w:rPr>
                <w:rFonts w:eastAsia="Times New Roman"/>
                <w:sz w:val="20"/>
                <w:szCs w:val="20"/>
                <w:lang w:eastAsia="en-GB" w:bidi="ne-NP"/>
              </w:rPr>
              <w:t xml:space="preserve">attiecināts </w:t>
            </w:r>
            <w:r w:rsidRPr="00E10694">
              <w:rPr>
                <w:rFonts w:eastAsia="Times New Roman"/>
                <w:sz w:val="20"/>
                <w:szCs w:val="20"/>
                <w:lang w:eastAsia="en-GB" w:bidi="ne-NP"/>
              </w:rPr>
              <w:t xml:space="preserve">par katru </w:t>
            </w:r>
            <w:r w:rsidR="008156B1" w:rsidRPr="00E10694">
              <w:rPr>
                <w:rFonts w:eastAsia="Times New Roman"/>
                <w:sz w:val="20"/>
                <w:szCs w:val="20"/>
                <w:lang w:eastAsia="en-GB" w:bidi="ne-NP"/>
              </w:rPr>
              <w:t xml:space="preserve">pilnībā </w:t>
            </w:r>
            <w:r w:rsidRPr="00E10694">
              <w:rPr>
                <w:rFonts w:eastAsia="Times New Roman"/>
                <w:sz w:val="20"/>
                <w:szCs w:val="20"/>
                <w:lang w:eastAsia="en-GB" w:bidi="ne-NP"/>
              </w:rPr>
              <w:t xml:space="preserve">sasniegto </w:t>
            </w:r>
            <w:r w:rsidR="00244E4F" w:rsidRPr="00E10694">
              <w:rPr>
                <w:rFonts w:eastAsia="Times New Roman"/>
                <w:sz w:val="20"/>
                <w:szCs w:val="20"/>
                <w:lang w:eastAsia="en-GB" w:bidi="ne-NP"/>
              </w:rPr>
              <w:t xml:space="preserve">starprezultātu vai </w:t>
            </w:r>
            <w:r w:rsidRPr="00E10694">
              <w:rPr>
                <w:rFonts w:eastAsia="Times New Roman"/>
                <w:sz w:val="20"/>
                <w:szCs w:val="20"/>
                <w:lang w:eastAsia="en-GB" w:bidi="ne-NP"/>
              </w:rPr>
              <w:t xml:space="preserve">rezultātu. Par </w:t>
            </w:r>
            <w:r w:rsidR="008156B1" w:rsidRPr="00E10694">
              <w:rPr>
                <w:rFonts w:eastAsia="Times New Roman"/>
                <w:sz w:val="20"/>
                <w:szCs w:val="20"/>
                <w:lang w:eastAsia="en-GB" w:bidi="ne-NP"/>
              </w:rPr>
              <w:t xml:space="preserve">sasniegto </w:t>
            </w:r>
            <w:r w:rsidR="00244E4F" w:rsidRPr="00E10694">
              <w:rPr>
                <w:rFonts w:eastAsia="Times New Roman"/>
                <w:sz w:val="20"/>
                <w:szCs w:val="20"/>
                <w:lang w:eastAsia="en-GB" w:bidi="ne-NP"/>
              </w:rPr>
              <w:t xml:space="preserve">starprezultātu un </w:t>
            </w:r>
            <w:r w:rsidRPr="00E10694">
              <w:rPr>
                <w:rFonts w:eastAsia="Times New Roman"/>
                <w:sz w:val="20"/>
                <w:szCs w:val="20"/>
                <w:lang w:eastAsia="en-GB" w:bidi="ne-NP"/>
              </w:rPr>
              <w:t>rezultātu pārbaudi būs atbildīga Valsts kanceleja, kas Latvijā ir atbildīgā iestāde par Administratīvās kapacitātes ceļa karti.</w:t>
            </w:r>
          </w:p>
          <w:p w14:paraId="1F5E186C" w14:textId="5889561E" w:rsidR="00D426D8" w:rsidRPr="00E10694" w:rsidRDefault="00D426D8" w:rsidP="00676EE3">
            <w:pPr>
              <w:spacing w:after="0" w:line="240" w:lineRule="auto"/>
              <w:ind w:left="137" w:right="141"/>
              <w:jc w:val="both"/>
              <w:rPr>
                <w:rFonts w:eastAsia="Times New Roman"/>
                <w:sz w:val="20"/>
                <w:szCs w:val="20"/>
                <w:lang w:eastAsia="en-GB" w:bidi="ne-NP"/>
              </w:rPr>
            </w:pPr>
          </w:p>
        </w:tc>
      </w:tr>
      <w:tr w:rsidR="00E10694" w:rsidRPr="00E10694" w14:paraId="2D1E9465"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150"/>
              <w:gridCol w:w="2378"/>
            </w:tblGrid>
            <w:tr w:rsidR="00E10694" w:rsidRPr="00E10694" w14:paraId="27F0A6A6" w14:textId="77777777" w:rsidTr="0029696D">
              <w:tc>
                <w:tcPr>
                  <w:tcW w:w="0" w:type="auto"/>
                  <w:shd w:val="clear" w:color="auto" w:fill="auto"/>
                  <w:hideMark/>
                </w:tcPr>
                <w:p w14:paraId="3FFBBC15"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lastRenderedPageBreak/>
                    <w:t>4.</w:t>
                  </w:r>
                </w:p>
              </w:tc>
              <w:tc>
                <w:tcPr>
                  <w:tcW w:w="0" w:type="auto"/>
                  <w:shd w:val="clear" w:color="auto" w:fill="auto"/>
                  <w:hideMark/>
                </w:tcPr>
                <w:p w14:paraId="376B3C2F"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Nosacījumu izpildes vai rezultātu sasniegšanas termiņš</w:t>
                  </w:r>
                </w:p>
              </w:tc>
            </w:tr>
          </w:tbl>
          <w:p w14:paraId="56360465" w14:textId="77777777" w:rsidR="00CF0674" w:rsidRPr="00E10694" w:rsidRDefault="00CF0674" w:rsidP="00CF0674">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1538B94" w14:textId="70F45861" w:rsidR="00CF0674" w:rsidRPr="00E10694" w:rsidRDefault="007B73EB" w:rsidP="00496691">
            <w:pPr>
              <w:spacing w:after="0" w:line="240" w:lineRule="auto"/>
              <w:ind w:left="137" w:right="141"/>
              <w:jc w:val="both"/>
              <w:rPr>
                <w:rFonts w:eastAsia="Times New Roman"/>
                <w:sz w:val="20"/>
                <w:szCs w:val="20"/>
                <w:lang w:eastAsia="en-GB" w:bidi="ne-NP"/>
              </w:rPr>
            </w:pPr>
            <w:r w:rsidRPr="00E10694">
              <w:rPr>
                <w:rFonts w:eastAsia="Times New Roman"/>
                <w:sz w:val="20"/>
                <w:szCs w:val="20"/>
                <w:lang w:eastAsia="en-GB" w:bidi="ne-NP"/>
              </w:rPr>
              <w:t>Pasākumus</w:t>
            </w:r>
            <w:r w:rsidR="009D4CA4" w:rsidRPr="00E10694">
              <w:rPr>
                <w:rFonts w:eastAsia="Times New Roman"/>
                <w:sz w:val="20"/>
                <w:szCs w:val="20"/>
                <w:lang w:eastAsia="en-GB" w:bidi="ne-NP"/>
              </w:rPr>
              <w:t xml:space="preserve"> plānots īstenot saskaņā ar B.7.sadaļā norādīto informāciju.</w:t>
            </w:r>
            <w:r w:rsidR="00496691">
              <w:rPr>
                <w:rFonts w:eastAsia="Times New Roman"/>
                <w:sz w:val="20"/>
                <w:szCs w:val="20"/>
                <w:lang w:eastAsia="en-GB" w:bidi="ne-NP"/>
              </w:rPr>
              <w:t xml:space="preserve"> V</w:t>
            </w:r>
            <w:r w:rsidR="00496691" w:rsidRPr="00496691">
              <w:rPr>
                <w:rFonts w:eastAsia="Times New Roman"/>
                <w:sz w:val="20"/>
                <w:szCs w:val="20"/>
                <w:lang w:eastAsia="en-GB" w:bidi="ne-NP"/>
              </w:rPr>
              <w:t xml:space="preserve">isu “Kapacitātes stiprināšanas pasākumi - Administratīvās kapacitātes </w:t>
            </w:r>
            <w:proofErr w:type="spellStart"/>
            <w:r w:rsidR="00496691" w:rsidRPr="00496691">
              <w:rPr>
                <w:rFonts w:eastAsia="Times New Roman"/>
                <w:sz w:val="20"/>
                <w:szCs w:val="20"/>
                <w:lang w:eastAsia="en-GB" w:bidi="ne-NP"/>
              </w:rPr>
              <w:t>ceļakarte</w:t>
            </w:r>
            <w:proofErr w:type="spellEnd"/>
            <w:r w:rsidR="00496691" w:rsidRPr="00496691">
              <w:rPr>
                <w:rFonts w:eastAsia="Times New Roman"/>
                <w:sz w:val="20"/>
                <w:szCs w:val="20"/>
                <w:lang w:eastAsia="en-GB" w:bidi="ne-NP"/>
              </w:rPr>
              <w:t>” shēmas starpposma nodevumu gala sasniegšanas termiņš ir 30.06.2029</w:t>
            </w:r>
            <w:r w:rsidR="00496691">
              <w:rPr>
                <w:rFonts w:eastAsia="Times New Roman"/>
                <w:sz w:val="20"/>
                <w:szCs w:val="20"/>
                <w:lang w:eastAsia="en-GB" w:bidi="ne-NP"/>
              </w:rPr>
              <w:t>.</w:t>
            </w:r>
          </w:p>
        </w:tc>
      </w:tr>
      <w:tr w:rsidR="00E10694" w:rsidRPr="00E10694" w14:paraId="13037CB6"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234"/>
              <w:gridCol w:w="2294"/>
            </w:tblGrid>
            <w:tr w:rsidR="00E10694" w:rsidRPr="00E10694" w14:paraId="13D003D5" w14:textId="77777777" w:rsidTr="0029696D">
              <w:tc>
                <w:tcPr>
                  <w:tcW w:w="0" w:type="auto"/>
                  <w:shd w:val="clear" w:color="auto" w:fill="auto"/>
                  <w:hideMark/>
                </w:tcPr>
                <w:p w14:paraId="092FA243"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5.</w:t>
                  </w:r>
                </w:p>
              </w:tc>
              <w:tc>
                <w:tcPr>
                  <w:tcW w:w="0" w:type="auto"/>
                  <w:shd w:val="clear" w:color="auto" w:fill="auto"/>
                  <w:hideMark/>
                </w:tcPr>
                <w:p w14:paraId="0370A754"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Rādītāja definīcija</w:t>
                  </w:r>
                </w:p>
              </w:tc>
            </w:tr>
          </w:tbl>
          <w:p w14:paraId="2E2FAC57" w14:textId="3E42278A" w:rsidR="00CF0674" w:rsidRPr="00E10694" w:rsidRDefault="00CF0674" w:rsidP="00CF0674">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75F354A7" w14:textId="6D5569B7" w:rsidR="00CF0674" w:rsidRPr="00E10694" w:rsidRDefault="00496F75" w:rsidP="00AB2E2C">
            <w:pPr>
              <w:spacing w:after="0" w:line="240" w:lineRule="auto"/>
              <w:ind w:left="137" w:right="141"/>
              <w:jc w:val="both"/>
              <w:rPr>
                <w:rFonts w:eastAsia="Times New Roman"/>
                <w:sz w:val="20"/>
                <w:szCs w:val="20"/>
                <w:lang w:eastAsia="en-GB" w:bidi="ne-NP"/>
              </w:rPr>
            </w:pPr>
            <w:r w:rsidRPr="00E10694">
              <w:rPr>
                <w:rFonts w:eastAsia="Times New Roman"/>
                <w:sz w:val="20"/>
                <w:szCs w:val="20"/>
                <w:lang w:eastAsia="en-GB" w:bidi="ne-NP"/>
              </w:rPr>
              <w:t>Īstenots pasākumu kopums</w:t>
            </w:r>
            <w:r w:rsidR="006A3011" w:rsidRPr="00E10694">
              <w:rPr>
                <w:rFonts w:eastAsia="Times New Roman"/>
                <w:sz w:val="20"/>
                <w:szCs w:val="20"/>
                <w:lang w:eastAsia="en-GB" w:bidi="ne-NP"/>
              </w:rPr>
              <w:t>, sasniedzot</w:t>
            </w:r>
            <w:r w:rsidR="00D507A1" w:rsidRPr="00E10694">
              <w:rPr>
                <w:rFonts w:eastAsia="Times New Roman"/>
                <w:sz w:val="20"/>
                <w:szCs w:val="20"/>
                <w:lang w:eastAsia="en-GB" w:bidi="ne-NP"/>
              </w:rPr>
              <w:t xml:space="preserve"> B.3. sadaļā </w:t>
            </w:r>
            <w:r w:rsidR="006A3011" w:rsidRPr="00E10694">
              <w:rPr>
                <w:rFonts w:eastAsia="Times New Roman"/>
                <w:sz w:val="20"/>
                <w:szCs w:val="20"/>
                <w:lang w:eastAsia="en-GB" w:bidi="ne-NP"/>
              </w:rPr>
              <w:t xml:space="preserve">un pielikumā </w:t>
            </w:r>
            <w:r w:rsidR="00D507A1" w:rsidRPr="00E10694">
              <w:rPr>
                <w:rFonts w:eastAsia="Times New Roman"/>
                <w:sz w:val="20"/>
                <w:szCs w:val="20"/>
                <w:lang w:eastAsia="en-GB" w:bidi="ne-NP"/>
              </w:rPr>
              <w:t>Nr.1</w:t>
            </w:r>
            <w:r w:rsidR="006A3011" w:rsidRPr="00E10694">
              <w:rPr>
                <w:rFonts w:eastAsia="Times New Roman"/>
                <w:sz w:val="20"/>
                <w:szCs w:val="20"/>
                <w:lang w:eastAsia="en-GB" w:bidi="ne-NP"/>
              </w:rPr>
              <w:t xml:space="preserve"> norādītos rezultātus. </w:t>
            </w:r>
          </w:p>
        </w:tc>
      </w:tr>
      <w:tr w:rsidR="00E10694" w:rsidRPr="00E10694" w14:paraId="629CDA88"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150"/>
              <w:gridCol w:w="2378"/>
            </w:tblGrid>
            <w:tr w:rsidR="00E10694" w:rsidRPr="00E10694" w14:paraId="50BFC76A" w14:textId="77777777" w:rsidTr="0029696D">
              <w:tc>
                <w:tcPr>
                  <w:tcW w:w="0" w:type="auto"/>
                  <w:shd w:val="clear" w:color="auto" w:fill="auto"/>
                  <w:hideMark/>
                </w:tcPr>
                <w:p w14:paraId="07D41748"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6.</w:t>
                  </w:r>
                </w:p>
              </w:tc>
              <w:tc>
                <w:tcPr>
                  <w:tcW w:w="0" w:type="auto"/>
                  <w:shd w:val="clear" w:color="auto" w:fill="auto"/>
                  <w:hideMark/>
                </w:tcPr>
                <w:p w14:paraId="6E8DCB5E" w14:textId="77777777" w:rsidR="00CF0674" w:rsidRPr="00E10694" w:rsidRDefault="00CF0674" w:rsidP="00CF0674">
                  <w:pPr>
                    <w:spacing w:after="0" w:line="240" w:lineRule="auto"/>
                    <w:jc w:val="both"/>
                    <w:rPr>
                      <w:rFonts w:eastAsia="Times New Roman"/>
                      <w:sz w:val="20"/>
                      <w:szCs w:val="20"/>
                      <w:lang w:eastAsia="en-GB" w:bidi="ne-NP"/>
                    </w:rPr>
                  </w:pPr>
                  <w:bookmarkStart w:id="0" w:name="_Hlk116477893"/>
                  <w:r w:rsidRPr="00E10694">
                    <w:rPr>
                      <w:rFonts w:eastAsia="Times New Roman"/>
                      <w:sz w:val="20"/>
                      <w:szCs w:val="20"/>
                      <w:lang w:eastAsia="en-GB" w:bidi="ne-NP"/>
                    </w:rPr>
                    <w:t>Izpildāmo nosacījumu / sasniedzamo rezultātu, pēc kuru sasniegšanas Komisija veic atlīdzināšanu, mērvienība</w:t>
                  </w:r>
                  <w:bookmarkEnd w:id="0"/>
                </w:p>
              </w:tc>
            </w:tr>
          </w:tbl>
          <w:p w14:paraId="6852077F" w14:textId="77777777" w:rsidR="00CF0674" w:rsidRPr="00E10694" w:rsidRDefault="00CF0674" w:rsidP="00CF0674">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F1ABE5F" w14:textId="620F8BA7" w:rsidR="00570988" w:rsidRDefault="00570988" w:rsidP="00AB2E2C">
            <w:pPr>
              <w:spacing w:after="0" w:line="240" w:lineRule="auto"/>
              <w:ind w:left="137" w:right="141"/>
              <w:jc w:val="both"/>
              <w:rPr>
                <w:rFonts w:eastAsia="Times New Roman"/>
                <w:sz w:val="20"/>
                <w:szCs w:val="20"/>
                <w:lang w:eastAsia="en-GB" w:bidi="ne-NP"/>
              </w:rPr>
            </w:pPr>
          </w:p>
          <w:p w14:paraId="2DF672BF" w14:textId="056279DB" w:rsidR="00A26433" w:rsidRPr="00E10694" w:rsidRDefault="00A26433" w:rsidP="00AB2E2C">
            <w:pPr>
              <w:spacing w:after="0" w:line="240" w:lineRule="auto"/>
              <w:ind w:left="137" w:right="141"/>
              <w:jc w:val="both"/>
              <w:rPr>
                <w:rFonts w:eastAsia="Times New Roman"/>
                <w:sz w:val="20"/>
                <w:szCs w:val="20"/>
                <w:lang w:eastAsia="en-GB" w:bidi="ne-NP"/>
              </w:rPr>
            </w:pPr>
            <w:r>
              <w:rPr>
                <w:rFonts w:eastAsia="Times New Roman"/>
                <w:sz w:val="20"/>
                <w:szCs w:val="20"/>
                <w:lang w:eastAsia="en-GB" w:bidi="ne-NP"/>
              </w:rPr>
              <w:t>P</w:t>
            </w:r>
            <w:r w:rsidRPr="00A26433">
              <w:rPr>
                <w:rFonts w:eastAsia="Times New Roman"/>
                <w:sz w:val="20"/>
                <w:szCs w:val="20"/>
                <w:lang w:eastAsia="en-GB" w:bidi="ne-NP"/>
              </w:rPr>
              <w:t xml:space="preserve">asākumu skaits, kas īstenoti saskaņā ar B.7. un B10. </w:t>
            </w:r>
            <w:r>
              <w:rPr>
                <w:rFonts w:eastAsia="Times New Roman"/>
                <w:sz w:val="20"/>
                <w:szCs w:val="20"/>
                <w:lang w:eastAsia="en-GB" w:bidi="ne-NP"/>
              </w:rPr>
              <w:t>sa</w:t>
            </w:r>
            <w:r w:rsidRPr="00A26433">
              <w:rPr>
                <w:rFonts w:eastAsia="Times New Roman"/>
                <w:sz w:val="20"/>
                <w:szCs w:val="20"/>
                <w:lang w:eastAsia="en-GB" w:bidi="ne-NP"/>
              </w:rPr>
              <w:t xml:space="preserve">daļā </w:t>
            </w:r>
            <w:r>
              <w:rPr>
                <w:rFonts w:eastAsia="Times New Roman"/>
                <w:sz w:val="20"/>
                <w:szCs w:val="20"/>
                <w:lang w:eastAsia="en-GB" w:bidi="ne-NP"/>
              </w:rPr>
              <w:t xml:space="preserve">norādīto informāciju. </w:t>
            </w:r>
          </w:p>
        </w:tc>
      </w:tr>
      <w:tr w:rsidR="00E10694" w:rsidRPr="00E10694" w14:paraId="4D807B5A" w14:textId="77777777" w:rsidTr="003B7DC3">
        <w:tc>
          <w:tcPr>
            <w:tcW w:w="823" w:type="pct"/>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p w14:paraId="2F8A62BE" w14:textId="77777777" w:rsidR="00966F86" w:rsidRPr="00E10694" w:rsidRDefault="00966F86"/>
          <w:tbl>
            <w:tblPr>
              <w:tblW w:w="5000" w:type="pct"/>
              <w:tblCellMar>
                <w:left w:w="0" w:type="dxa"/>
                <w:right w:w="0" w:type="dxa"/>
              </w:tblCellMar>
              <w:tblLook w:val="04A0" w:firstRow="1" w:lastRow="0" w:firstColumn="1" w:lastColumn="0" w:noHBand="0" w:noVBand="1"/>
            </w:tblPr>
            <w:tblGrid>
              <w:gridCol w:w="150"/>
              <w:gridCol w:w="2378"/>
            </w:tblGrid>
            <w:tr w:rsidR="00E10694" w:rsidRPr="00E10694" w14:paraId="56FCA436" w14:textId="77777777" w:rsidTr="0029696D">
              <w:tc>
                <w:tcPr>
                  <w:tcW w:w="0" w:type="auto"/>
                  <w:shd w:val="clear" w:color="auto" w:fill="auto"/>
                  <w:hideMark/>
                </w:tcPr>
                <w:p w14:paraId="367888BF"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7.</w:t>
                  </w:r>
                </w:p>
              </w:tc>
              <w:tc>
                <w:tcPr>
                  <w:tcW w:w="0" w:type="auto"/>
                  <w:shd w:val="clear" w:color="auto" w:fill="auto"/>
                  <w:hideMark/>
                </w:tcPr>
                <w:p w14:paraId="4922CC19" w14:textId="77777777" w:rsidR="00CF0674" w:rsidRPr="00E10694" w:rsidRDefault="00CF0674"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Starpposma nodevumi (ja ir), pēc kuru sasniegšanas Komisija veic atlīdzināšanu, un atlīdzināšanas grafiks</w:t>
                  </w:r>
                </w:p>
              </w:tc>
            </w:tr>
          </w:tbl>
          <w:p w14:paraId="3534903F" w14:textId="77777777" w:rsidR="00CF0674" w:rsidRPr="00E10694" w:rsidRDefault="00CF0674" w:rsidP="00CF0674">
            <w:pPr>
              <w:spacing w:after="0" w:line="240" w:lineRule="auto"/>
              <w:rPr>
                <w:rFonts w:eastAsia="Calibri"/>
                <w:sz w:val="20"/>
                <w:szCs w:val="20"/>
              </w:rPr>
            </w:pPr>
          </w:p>
        </w:tc>
        <w:tc>
          <w:tcPr>
            <w:tcW w:w="2991" w:type="pct"/>
            <w:tcBorders>
              <w:top w:val="single" w:sz="6" w:space="0" w:color="000000"/>
              <w:left w:val="single" w:sz="6" w:space="0" w:color="000000"/>
              <w:bottom w:val="single" w:sz="6" w:space="0" w:color="000000"/>
              <w:right w:val="single" w:sz="6" w:space="0" w:color="000000"/>
            </w:tcBorders>
            <w:shd w:val="clear" w:color="auto" w:fill="FFFFFF"/>
            <w:hideMark/>
          </w:tcPr>
          <w:p w14:paraId="3C8E988E" w14:textId="77777777" w:rsidR="00CF0674" w:rsidRPr="00E10694" w:rsidRDefault="00CF0674" w:rsidP="00A24872">
            <w:pPr>
              <w:spacing w:after="0" w:line="240" w:lineRule="auto"/>
              <w:ind w:left="143" w:right="168" w:firstLine="12"/>
              <w:rPr>
                <w:rFonts w:eastAsia="Times New Roman"/>
                <w:b/>
                <w:bCs/>
                <w:sz w:val="20"/>
                <w:szCs w:val="20"/>
                <w:lang w:eastAsia="en-GB" w:bidi="ne-NP"/>
              </w:rPr>
            </w:pPr>
            <w:r w:rsidRPr="00E10694">
              <w:rPr>
                <w:rFonts w:eastAsia="Times New Roman"/>
                <w:b/>
                <w:bCs/>
                <w:sz w:val="20"/>
                <w:szCs w:val="20"/>
                <w:lang w:eastAsia="en-GB" w:bidi="ne-NP"/>
              </w:rPr>
              <w:t>Starpposma nodevumi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7F46FE" w14:textId="77777777" w:rsidR="00CF0674" w:rsidRPr="00E10694" w:rsidRDefault="00CF0674" w:rsidP="00CF0674">
            <w:pPr>
              <w:spacing w:after="0" w:line="240" w:lineRule="auto"/>
              <w:rPr>
                <w:rFonts w:eastAsia="Times New Roman"/>
                <w:b/>
                <w:bCs/>
                <w:sz w:val="20"/>
                <w:szCs w:val="20"/>
                <w:lang w:eastAsia="en-GB" w:bidi="ne-NP"/>
              </w:rPr>
            </w:pPr>
            <w:r w:rsidRPr="00E10694">
              <w:rPr>
                <w:rFonts w:eastAsia="Times New Roman"/>
                <w:b/>
                <w:bCs/>
                <w:sz w:val="20"/>
                <w:szCs w:val="20"/>
                <w:lang w:eastAsia="en-GB" w:bidi="ne-NP"/>
              </w:rPr>
              <w:t>Paredzētais datums</w:t>
            </w:r>
          </w:p>
        </w:tc>
        <w:tc>
          <w:tcPr>
            <w:tcW w:w="860" w:type="pct"/>
            <w:tcBorders>
              <w:top w:val="single" w:sz="6" w:space="0" w:color="000000"/>
              <w:left w:val="single" w:sz="6" w:space="0" w:color="000000"/>
              <w:bottom w:val="single" w:sz="6" w:space="0" w:color="000000"/>
              <w:right w:val="single" w:sz="6" w:space="0" w:color="000000"/>
            </w:tcBorders>
            <w:shd w:val="clear" w:color="auto" w:fill="FFFFFF"/>
            <w:hideMark/>
          </w:tcPr>
          <w:p w14:paraId="3ED35C16" w14:textId="77777777" w:rsidR="00CF0674" w:rsidRPr="00E10694" w:rsidRDefault="00CF0674" w:rsidP="00CF0674">
            <w:pPr>
              <w:spacing w:after="0" w:line="240" w:lineRule="auto"/>
              <w:rPr>
                <w:rFonts w:eastAsia="Times New Roman"/>
                <w:b/>
                <w:bCs/>
                <w:sz w:val="20"/>
                <w:szCs w:val="20"/>
                <w:lang w:eastAsia="en-GB" w:bidi="ne-NP"/>
              </w:rPr>
            </w:pPr>
            <w:r w:rsidRPr="00E10694">
              <w:rPr>
                <w:rFonts w:eastAsia="Times New Roman"/>
                <w:b/>
                <w:bCs/>
                <w:sz w:val="20"/>
                <w:szCs w:val="20"/>
                <w:lang w:eastAsia="en-GB" w:bidi="ne-NP"/>
              </w:rPr>
              <w:t>Summas (EUR)</w:t>
            </w:r>
          </w:p>
        </w:tc>
      </w:tr>
      <w:tr w:rsidR="00E10694" w:rsidRPr="00E10694" w14:paraId="646AFB43" w14:textId="77777777" w:rsidTr="003B7DC3">
        <w:trPr>
          <w:trHeight w:val="131"/>
        </w:trPr>
        <w:tc>
          <w:tcPr>
            <w:tcW w:w="823" w:type="pct"/>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50910D9" w14:textId="77777777" w:rsidR="00CF0674" w:rsidRPr="00E10694" w:rsidRDefault="00CF0674" w:rsidP="00CF0674">
            <w:pPr>
              <w:spacing w:after="0" w:line="240" w:lineRule="auto"/>
              <w:rPr>
                <w:rFonts w:eastAsia="Calibri"/>
                <w:sz w:val="20"/>
                <w:szCs w:val="20"/>
              </w:rPr>
            </w:pPr>
          </w:p>
        </w:tc>
        <w:tc>
          <w:tcPr>
            <w:tcW w:w="2991" w:type="pct"/>
            <w:tcBorders>
              <w:top w:val="single" w:sz="6" w:space="0" w:color="000000"/>
              <w:left w:val="single" w:sz="6" w:space="0" w:color="000000"/>
              <w:bottom w:val="single" w:sz="6" w:space="0" w:color="000000"/>
              <w:right w:val="single" w:sz="6" w:space="0" w:color="000000"/>
            </w:tcBorders>
            <w:shd w:val="clear" w:color="auto" w:fill="FFFFFF"/>
          </w:tcPr>
          <w:p w14:paraId="57D836E9" w14:textId="5C007E91" w:rsidR="00CF0674" w:rsidRPr="00E10694" w:rsidRDefault="000329D9" w:rsidP="00A24872">
            <w:pPr>
              <w:spacing w:after="0" w:line="240" w:lineRule="auto"/>
              <w:ind w:left="143" w:right="168" w:firstLine="12"/>
              <w:jc w:val="both"/>
              <w:rPr>
                <w:rFonts w:eastAsia="Times New Roman"/>
                <w:sz w:val="20"/>
                <w:szCs w:val="20"/>
                <w:lang w:eastAsia="en-GB" w:bidi="ne-NP"/>
              </w:rPr>
            </w:pPr>
            <w:r w:rsidRPr="00E10694">
              <w:rPr>
                <w:rFonts w:eastAsia="Times New Roman"/>
                <w:sz w:val="20"/>
                <w:szCs w:val="20"/>
                <w:lang w:eastAsia="en-GB" w:bidi="ne-NP"/>
              </w:rPr>
              <w:t>Īstenotie pasākumi (Nr.</w:t>
            </w:r>
            <w:r w:rsidR="00FD7226">
              <w:rPr>
                <w:rFonts w:eastAsia="Times New Roman"/>
                <w:sz w:val="20"/>
                <w:szCs w:val="20"/>
                <w:lang w:eastAsia="en-GB" w:bidi="ne-NP"/>
              </w:rPr>
              <w:t xml:space="preserve">1.3., </w:t>
            </w:r>
            <w:r w:rsidRPr="00E10694">
              <w:rPr>
                <w:rFonts w:eastAsia="Times New Roman"/>
                <w:sz w:val="20"/>
                <w:szCs w:val="20"/>
                <w:lang w:eastAsia="en-GB" w:bidi="ne-NP"/>
              </w:rPr>
              <w:t>3.3., 4.4., 4.5., 5.2., 6.2., 6.3., 6.6., 6.7., 7.1., 7.2., 7.3.a, 7.3.b, 7.4., 7.5.a, 7.5.b, 7.6., 8.1., 11.1.a, 11.1.b)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1CBF7FEF" w14:textId="3828E96A" w:rsidR="00CF0674" w:rsidRPr="00E10694" w:rsidRDefault="00B96CCE" w:rsidP="00CF0674">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31.12.2024.</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799BADE4" w14:textId="30F8A129" w:rsidR="00CF0674" w:rsidRPr="00E10694" w:rsidRDefault="00FD7226" w:rsidP="00A24872">
            <w:pPr>
              <w:spacing w:after="0" w:line="240" w:lineRule="auto"/>
              <w:ind w:left="88"/>
              <w:jc w:val="both"/>
              <w:rPr>
                <w:rFonts w:eastAsia="Times New Roman"/>
                <w:sz w:val="20"/>
                <w:szCs w:val="20"/>
                <w:lang w:eastAsia="en-GB" w:bidi="ne-NP"/>
              </w:rPr>
            </w:pPr>
            <w:r>
              <w:rPr>
                <w:rFonts w:eastAsia="Times New Roman"/>
                <w:sz w:val="20"/>
                <w:szCs w:val="20"/>
                <w:lang w:eastAsia="en-GB" w:bidi="ne-NP"/>
              </w:rPr>
              <w:t>741 921</w:t>
            </w:r>
            <w:r w:rsidR="00613A6D" w:rsidRPr="00E10694">
              <w:rPr>
                <w:rFonts w:eastAsia="Times New Roman"/>
                <w:sz w:val="20"/>
                <w:szCs w:val="20"/>
                <w:lang w:eastAsia="en-GB" w:bidi="ne-NP"/>
              </w:rPr>
              <w:t xml:space="preserve"> </w:t>
            </w:r>
          </w:p>
        </w:tc>
      </w:tr>
      <w:tr w:rsidR="00E10694" w:rsidRPr="00E10694" w14:paraId="11A2D9CE" w14:textId="77777777" w:rsidTr="003B7DC3">
        <w:tc>
          <w:tcPr>
            <w:tcW w:w="823" w:type="pct"/>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398A7A3" w14:textId="77777777" w:rsidR="00B96CCE" w:rsidRPr="00E10694" w:rsidRDefault="00B96CCE" w:rsidP="00B96CCE">
            <w:pPr>
              <w:spacing w:after="0" w:line="240" w:lineRule="auto"/>
              <w:rPr>
                <w:rFonts w:eastAsia="Calibri"/>
                <w:sz w:val="20"/>
                <w:szCs w:val="20"/>
              </w:rPr>
            </w:pPr>
          </w:p>
        </w:tc>
        <w:tc>
          <w:tcPr>
            <w:tcW w:w="2991" w:type="pct"/>
            <w:tcBorders>
              <w:top w:val="single" w:sz="6" w:space="0" w:color="000000"/>
              <w:left w:val="single" w:sz="6" w:space="0" w:color="000000"/>
              <w:bottom w:val="single" w:sz="6" w:space="0" w:color="000000"/>
              <w:right w:val="single" w:sz="6" w:space="0" w:color="000000"/>
            </w:tcBorders>
            <w:shd w:val="clear" w:color="auto" w:fill="FFFFFF"/>
          </w:tcPr>
          <w:p w14:paraId="22640B28" w14:textId="4F00CF47" w:rsidR="00B96CCE" w:rsidRPr="00E10694" w:rsidRDefault="000329D9" w:rsidP="00A24872">
            <w:pPr>
              <w:spacing w:after="0" w:line="240" w:lineRule="auto"/>
              <w:ind w:left="143" w:right="168" w:firstLine="12"/>
              <w:jc w:val="both"/>
              <w:rPr>
                <w:rFonts w:eastAsia="Times New Roman"/>
                <w:sz w:val="20"/>
                <w:szCs w:val="20"/>
                <w:lang w:eastAsia="en-GB" w:bidi="ne-NP"/>
              </w:rPr>
            </w:pPr>
            <w:r w:rsidRPr="00E10694">
              <w:rPr>
                <w:rFonts w:eastAsia="Times New Roman"/>
                <w:sz w:val="20"/>
                <w:szCs w:val="20"/>
                <w:lang w:eastAsia="en-GB" w:bidi="ne-NP"/>
              </w:rPr>
              <w:t>Īstenotie pasākumi (Nr.1.3., 1.4., 3.3., 4.4., 4.5., 5.2., 6.3., 6.7., 7.1., 7.2., 7.3.b, 7.4., 7.5.b, 7.6., 8.1., 10.5., 11.1.b)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30CC96E" w14:textId="36789950"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31.12.2026.</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4C98813D" w14:textId="2598F983" w:rsidR="00B96CCE" w:rsidRPr="00E10694" w:rsidRDefault="00FD7226" w:rsidP="00A24872">
            <w:pPr>
              <w:spacing w:after="0" w:line="240" w:lineRule="auto"/>
              <w:ind w:left="88"/>
              <w:jc w:val="both"/>
              <w:rPr>
                <w:rFonts w:eastAsia="Times New Roman"/>
                <w:sz w:val="20"/>
                <w:szCs w:val="20"/>
                <w:lang w:eastAsia="en-GB" w:bidi="ne-NP"/>
              </w:rPr>
            </w:pPr>
            <w:r>
              <w:rPr>
                <w:rFonts w:eastAsia="Times New Roman"/>
                <w:sz w:val="20"/>
                <w:szCs w:val="20"/>
                <w:lang w:eastAsia="en-GB" w:bidi="ne-NP"/>
              </w:rPr>
              <w:t>781 153</w:t>
            </w:r>
          </w:p>
        </w:tc>
      </w:tr>
      <w:tr w:rsidR="00E10694" w:rsidRPr="00E10694" w14:paraId="09D96620" w14:textId="77777777" w:rsidTr="003B7DC3">
        <w:tc>
          <w:tcPr>
            <w:tcW w:w="823" w:type="pct"/>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43048D" w14:textId="77777777" w:rsidR="00B96CCE" w:rsidRPr="00E10694" w:rsidRDefault="00B96CCE" w:rsidP="00B96CCE">
            <w:pPr>
              <w:spacing w:after="0" w:line="240" w:lineRule="auto"/>
              <w:rPr>
                <w:rFonts w:eastAsia="Calibri"/>
                <w:sz w:val="20"/>
                <w:szCs w:val="20"/>
              </w:rPr>
            </w:pPr>
          </w:p>
        </w:tc>
        <w:tc>
          <w:tcPr>
            <w:tcW w:w="2991" w:type="pct"/>
            <w:tcBorders>
              <w:top w:val="single" w:sz="6" w:space="0" w:color="000000"/>
              <w:left w:val="single" w:sz="6" w:space="0" w:color="000000"/>
              <w:bottom w:val="single" w:sz="6" w:space="0" w:color="000000"/>
              <w:right w:val="single" w:sz="6" w:space="0" w:color="000000"/>
            </w:tcBorders>
            <w:shd w:val="clear" w:color="auto" w:fill="FFFFFF"/>
          </w:tcPr>
          <w:p w14:paraId="4F1274AE" w14:textId="2656CF32" w:rsidR="00B96CCE" w:rsidRPr="00E10694" w:rsidRDefault="000329D9" w:rsidP="00A24872">
            <w:pPr>
              <w:spacing w:after="0" w:line="240" w:lineRule="auto"/>
              <w:ind w:left="143" w:right="168" w:firstLine="12"/>
              <w:jc w:val="both"/>
              <w:rPr>
                <w:rFonts w:eastAsia="Times New Roman"/>
                <w:sz w:val="20"/>
                <w:szCs w:val="20"/>
                <w:lang w:eastAsia="en-GB" w:bidi="ne-NP"/>
              </w:rPr>
            </w:pPr>
            <w:r w:rsidRPr="00E10694">
              <w:rPr>
                <w:rFonts w:eastAsia="Times New Roman"/>
                <w:sz w:val="20"/>
                <w:szCs w:val="20"/>
                <w:lang w:eastAsia="en-GB" w:bidi="ne-NP"/>
              </w:rPr>
              <w:t>Īstenotie pasākumi (Nr.1.3., 1.4., 4.4., 4.5., 6.6., 7.1., 7.2., 7.3.b, 7.4., 7.5.b, 7.6., 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121320CA" w14:textId="67153A9D"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31.12.2028.</w:t>
            </w: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02DD963D" w14:textId="33DD7A44" w:rsidR="00B96CCE" w:rsidRPr="00E10694" w:rsidRDefault="00FD7226" w:rsidP="00A24872">
            <w:pPr>
              <w:spacing w:after="0" w:line="240" w:lineRule="auto"/>
              <w:ind w:left="88"/>
              <w:jc w:val="both"/>
              <w:rPr>
                <w:rFonts w:eastAsia="Times New Roman"/>
                <w:sz w:val="20"/>
                <w:szCs w:val="20"/>
                <w:lang w:eastAsia="en-GB" w:bidi="ne-NP"/>
              </w:rPr>
            </w:pPr>
            <w:r>
              <w:rPr>
                <w:rFonts w:eastAsia="Times New Roman"/>
                <w:sz w:val="20"/>
                <w:szCs w:val="20"/>
                <w:lang w:eastAsia="en-GB" w:bidi="ne-NP"/>
              </w:rPr>
              <w:t>410 865</w:t>
            </w:r>
          </w:p>
        </w:tc>
      </w:tr>
      <w:tr w:rsidR="00E10694" w:rsidRPr="00E10694" w14:paraId="39950295" w14:textId="77777777" w:rsidTr="003B7DC3">
        <w:tc>
          <w:tcPr>
            <w:tcW w:w="823" w:type="pct"/>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67EBA06" w14:textId="77777777" w:rsidR="00B96CCE" w:rsidRPr="00E10694" w:rsidRDefault="00B96CCE" w:rsidP="00B96CCE">
            <w:pPr>
              <w:spacing w:after="0" w:line="240" w:lineRule="auto"/>
              <w:rPr>
                <w:rFonts w:eastAsia="Calibri"/>
                <w:sz w:val="20"/>
                <w:szCs w:val="20"/>
              </w:rPr>
            </w:pPr>
          </w:p>
        </w:tc>
        <w:tc>
          <w:tcPr>
            <w:tcW w:w="2991" w:type="pct"/>
            <w:tcBorders>
              <w:top w:val="single" w:sz="6" w:space="0" w:color="000000"/>
              <w:left w:val="single" w:sz="6" w:space="0" w:color="000000"/>
              <w:bottom w:val="single" w:sz="6" w:space="0" w:color="000000"/>
              <w:right w:val="single" w:sz="6" w:space="0" w:color="000000"/>
            </w:tcBorders>
            <w:shd w:val="clear" w:color="auto" w:fill="FFFFFF"/>
          </w:tcPr>
          <w:p w14:paraId="06B359BD" w14:textId="65777ABF" w:rsidR="00B96CCE" w:rsidRPr="00E10694" w:rsidRDefault="00B96CCE" w:rsidP="00B96CCE">
            <w:pPr>
              <w:spacing w:after="0" w:line="240" w:lineRule="auto"/>
              <w:jc w:val="both"/>
              <w:rPr>
                <w:rFonts w:eastAsia="Times New Roman"/>
                <w:sz w:val="20"/>
                <w:szCs w:val="20"/>
                <w:lang w:eastAsia="en-GB" w:bidi="ne-NP"/>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29866E2B" w14:textId="3A1F7FD2" w:rsidR="00B96CCE" w:rsidRPr="00E10694" w:rsidRDefault="00B96CCE" w:rsidP="00B96CCE">
            <w:pPr>
              <w:spacing w:after="0" w:line="240" w:lineRule="auto"/>
              <w:jc w:val="both"/>
              <w:rPr>
                <w:rFonts w:eastAsia="Times New Roman"/>
                <w:sz w:val="20"/>
                <w:szCs w:val="20"/>
                <w:lang w:eastAsia="en-GB" w:bidi="ne-NP"/>
              </w:rPr>
            </w:pPr>
          </w:p>
        </w:tc>
        <w:tc>
          <w:tcPr>
            <w:tcW w:w="860" w:type="pct"/>
            <w:tcBorders>
              <w:top w:val="single" w:sz="6" w:space="0" w:color="000000"/>
              <w:left w:val="single" w:sz="6" w:space="0" w:color="000000"/>
              <w:bottom w:val="single" w:sz="6" w:space="0" w:color="000000"/>
              <w:right w:val="single" w:sz="6" w:space="0" w:color="000000"/>
            </w:tcBorders>
            <w:shd w:val="clear" w:color="auto" w:fill="FFFFFF"/>
          </w:tcPr>
          <w:p w14:paraId="253D3E8A" w14:textId="5EE2B3FB" w:rsidR="00B96CCE" w:rsidRPr="00E10694" w:rsidRDefault="00B96CCE" w:rsidP="00B96CCE">
            <w:pPr>
              <w:spacing w:after="0" w:line="240" w:lineRule="auto"/>
              <w:jc w:val="both"/>
              <w:rPr>
                <w:rFonts w:eastAsia="Times New Roman"/>
                <w:sz w:val="20"/>
                <w:szCs w:val="20"/>
                <w:lang w:eastAsia="en-GB" w:bidi="ne-NP"/>
              </w:rPr>
            </w:pPr>
          </w:p>
        </w:tc>
      </w:tr>
      <w:tr w:rsidR="00E10694" w:rsidRPr="00E10694" w14:paraId="5DF643FA"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150"/>
              <w:gridCol w:w="2378"/>
            </w:tblGrid>
            <w:tr w:rsidR="00E10694" w:rsidRPr="00E10694" w14:paraId="3C31783B" w14:textId="77777777" w:rsidTr="0029696D">
              <w:tc>
                <w:tcPr>
                  <w:tcW w:w="0" w:type="auto"/>
                  <w:shd w:val="clear" w:color="auto" w:fill="auto"/>
                  <w:hideMark/>
                </w:tcPr>
                <w:p w14:paraId="2AE78B03"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8.</w:t>
                  </w:r>
                </w:p>
              </w:tc>
              <w:tc>
                <w:tcPr>
                  <w:tcW w:w="0" w:type="auto"/>
                  <w:shd w:val="clear" w:color="auto" w:fill="auto"/>
                  <w:hideMark/>
                </w:tcPr>
                <w:p w14:paraId="0FCCBB13"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Kopsumma (t. sk. Savienības un valsts finansējums)</w:t>
                  </w:r>
                </w:p>
              </w:tc>
            </w:tr>
          </w:tbl>
          <w:p w14:paraId="50DE4F57" w14:textId="77777777" w:rsidR="00B96CCE" w:rsidRPr="00E10694" w:rsidRDefault="00B96CCE" w:rsidP="00B96CCE">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5C1A4DC3" w14:textId="4DE2F0DD" w:rsidR="00E86405" w:rsidRPr="00E10694" w:rsidRDefault="00E86405" w:rsidP="00EB3F31">
            <w:pPr>
              <w:spacing w:after="0" w:line="240" w:lineRule="auto"/>
              <w:ind w:left="137"/>
              <w:jc w:val="both"/>
              <w:rPr>
                <w:rFonts w:eastAsia="Times New Roman"/>
                <w:sz w:val="20"/>
                <w:szCs w:val="20"/>
                <w:lang w:eastAsia="en-GB" w:bidi="ne-NP"/>
              </w:rPr>
            </w:pPr>
            <w:r w:rsidRPr="00E10694">
              <w:rPr>
                <w:rFonts w:eastAsia="Times New Roman"/>
                <w:sz w:val="20"/>
                <w:szCs w:val="20"/>
                <w:lang w:eastAsia="en-GB" w:bidi="ne-NP"/>
              </w:rPr>
              <w:t>1 933 939 EUR, t.sk. ESF+ finansējums 1 643 848 EUR, valsts budžeta līdzfinansējums 290 091 EUR</w:t>
            </w:r>
          </w:p>
          <w:p w14:paraId="57C1F6F0" w14:textId="77777777" w:rsidR="00CB364E" w:rsidRPr="00E10694" w:rsidRDefault="00CB364E" w:rsidP="00EB3F31">
            <w:pPr>
              <w:spacing w:after="0" w:line="240" w:lineRule="auto"/>
              <w:ind w:left="137"/>
              <w:jc w:val="both"/>
              <w:rPr>
                <w:rFonts w:eastAsia="Times New Roman"/>
                <w:sz w:val="20"/>
                <w:szCs w:val="20"/>
                <w:lang w:eastAsia="en-GB" w:bidi="ne-NP"/>
              </w:rPr>
            </w:pPr>
          </w:p>
          <w:p w14:paraId="3C1A90FC" w14:textId="458EC820" w:rsidR="00CB364E" w:rsidRPr="00E10694" w:rsidRDefault="00CB364E" w:rsidP="00EB3F31">
            <w:pPr>
              <w:spacing w:after="0" w:line="240" w:lineRule="auto"/>
              <w:ind w:left="137" w:right="212"/>
              <w:jc w:val="both"/>
              <w:rPr>
                <w:rFonts w:eastAsia="Times New Roman"/>
                <w:sz w:val="20"/>
                <w:szCs w:val="20"/>
                <w:lang w:eastAsia="en-GB" w:bidi="ne-NP"/>
              </w:rPr>
            </w:pPr>
            <w:r w:rsidRPr="00E10694">
              <w:rPr>
                <w:rFonts w:eastAsia="Times New Roman"/>
                <w:sz w:val="20"/>
                <w:szCs w:val="20"/>
                <w:lang w:eastAsia="en-GB" w:bidi="ne-NP"/>
              </w:rPr>
              <w:t>Aprēķina metode:</w:t>
            </w:r>
          </w:p>
          <w:p w14:paraId="1FB920D8" w14:textId="4BA1A63A" w:rsidR="00CB364E" w:rsidRPr="00E10694" w:rsidRDefault="00CB364E"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Izstrādājot Eiropas Savienības Atveseļošanas un noturības mehānisma plāna 6.komponentes “Likuma vara” 6.3. reformu un investīciju virziena “Publiskās pārvaldes modernizācija” investīcijas Valsts kanceleja ar Eiropas Komisiju ir saskaņojusi pieeju saistībā ar izmaksām uz vienu apmācāmo</w:t>
            </w:r>
            <w:r w:rsidR="00F978D8" w:rsidRPr="00E10694">
              <w:rPr>
                <w:rFonts w:eastAsia="Times New Roman"/>
                <w:sz w:val="20"/>
                <w:szCs w:val="20"/>
                <w:lang w:eastAsia="en-GB" w:bidi="ne-NP"/>
              </w:rPr>
              <w:t xml:space="preserve"> (specializēto mācību un </w:t>
            </w:r>
            <w:r w:rsidR="00BE5C39" w:rsidRPr="00E10694">
              <w:rPr>
                <w:rFonts w:eastAsia="Times New Roman"/>
                <w:sz w:val="20"/>
                <w:szCs w:val="20"/>
                <w:lang w:eastAsia="en-GB" w:bidi="ne-NP"/>
              </w:rPr>
              <w:t>tematisko apmācību)</w:t>
            </w:r>
            <w:r w:rsidRPr="00E10694">
              <w:rPr>
                <w:rFonts w:eastAsia="Times New Roman"/>
                <w:sz w:val="20"/>
                <w:szCs w:val="20"/>
                <w:lang w:eastAsia="en-GB" w:bidi="ne-NP"/>
              </w:rPr>
              <w:t xml:space="preserve"> un uz e-kursu izstrādes izmaksām</w:t>
            </w:r>
            <w:r w:rsidR="0098156F" w:rsidRPr="00E10694">
              <w:rPr>
                <w:rFonts w:eastAsia="Times New Roman"/>
                <w:sz w:val="20"/>
                <w:szCs w:val="20"/>
                <w:lang w:eastAsia="en-GB" w:bidi="ne-NP"/>
              </w:rPr>
              <w:t xml:space="preserve"> (Latvijas Atveseļošanas fonda plāna 2.pielikuma </w:t>
            </w:r>
            <w:r w:rsidR="00445E81" w:rsidRPr="00E10694">
              <w:rPr>
                <w:rFonts w:eastAsia="Times New Roman"/>
                <w:sz w:val="20"/>
                <w:szCs w:val="20"/>
                <w:lang w:eastAsia="en-GB" w:bidi="ne-NP"/>
              </w:rPr>
              <w:t xml:space="preserve">6.3.1.1.i investīcija “Atvērta, caurskatāma, godprātīga un atbildīga publiskā pārvalde” un 6.3.1.2.i investīcija “Publiskās pārvaldes </w:t>
            </w:r>
            <w:proofErr w:type="spellStart"/>
            <w:r w:rsidR="00445E81" w:rsidRPr="00E10694">
              <w:rPr>
                <w:rFonts w:eastAsia="Times New Roman"/>
                <w:sz w:val="20"/>
                <w:szCs w:val="20"/>
                <w:lang w:eastAsia="en-GB" w:bidi="ne-NP"/>
              </w:rPr>
              <w:t>profesionalizācija</w:t>
            </w:r>
            <w:proofErr w:type="spellEnd"/>
            <w:r w:rsidR="00445E81" w:rsidRPr="00E10694">
              <w:rPr>
                <w:rFonts w:eastAsia="Times New Roman"/>
                <w:sz w:val="20"/>
                <w:szCs w:val="20"/>
                <w:lang w:eastAsia="en-GB" w:bidi="ne-NP"/>
              </w:rPr>
              <w:t xml:space="preserve"> un administratīvās un kapacitātes stiprināšana”</w:t>
            </w:r>
            <w:r w:rsidR="0098156F" w:rsidRPr="00E10694">
              <w:rPr>
                <w:rFonts w:eastAsia="Times New Roman"/>
                <w:sz w:val="20"/>
                <w:szCs w:val="20"/>
                <w:lang w:eastAsia="en-GB" w:bidi="ne-NP"/>
              </w:rPr>
              <w:t>)</w:t>
            </w:r>
            <w:r w:rsidRPr="00E10694">
              <w:rPr>
                <w:rFonts w:eastAsia="Times New Roman"/>
                <w:sz w:val="20"/>
                <w:szCs w:val="20"/>
                <w:lang w:eastAsia="en-GB" w:bidi="ne-NP"/>
              </w:rPr>
              <w:t>.</w:t>
            </w:r>
          </w:p>
          <w:p w14:paraId="1C2DB279" w14:textId="7BBAC5FB" w:rsidR="00CB364E" w:rsidRPr="00E10694" w:rsidRDefault="00CB364E"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 xml:space="preserve">Aprēķinu metodē par pamatu ir ņemta Valsts administrācijas skolas un Valsts kancelejas līdzšinējā pieredze, vēsturiskie dati, statistiskie un finansiālie dati, kā arī 2020.gadā veiktajā </w:t>
            </w:r>
            <w:proofErr w:type="spellStart"/>
            <w:r w:rsidRPr="00E10694">
              <w:rPr>
                <w:rFonts w:eastAsia="Times New Roman"/>
                <w:sz w:val="20"/>
                <w:szCs w:val="20"/>
                <w:lang w:eastAsia="en-GB" w:bidi="ne-NP"/>
              </w:rPr>
              <w:t>izvērtējumā</w:t>
            </w:r>
            <w:proofErr w:type="spellEnd"/>
            <w:r w:rsidRPr="00E10694">
              <w:rPr>
                <w:rFonts w:eastAsia="Times New Roman"/>
                <w:sz w:val="20"/>
                <w:szCs w:val="20"/>
                <w:lang w:eastAsia="en-GB" w:bidi="ne-NP"/>
              </w:rPr>
              <w:t xml:space="preserve"> "Eiropas Sociālā fonda investīciju efektivitātes un ietekmes </w:t>
            </w:r>
            <w:proofErr w:type="spellStart"/>
            <w:r w:rsidRPr="00E10694">
              <w:rPr>
                <w:rFonts w:eastAsia="Times New Roman"/>
                <w:sz w:val="20"/>
                <w:szCs w:val="20"/>
                <w:lang w:eastAsia="en-GB" w:bidi="ne-NP"/>
              </w:rPr>
              <w:t>izvērtējums</w:t>
            </w:r>
            <w:proofErr w:type="spellEnd"/>
            <w:r w:rsidRPr="00E10694">
              <w:rPr>
                <w:rFonts w:eastAsia="Times New Roman"/>
                <w:sz w:val="20"/>
                <w:szCs w:val="20"/>
                <w:lang w:eastAsia="en-GB" w:bidi="ne-NP"/>
              </w:rPr>
              <w:t xml:space="preserve"> valsts pārvaldes attīstībā un nodarbināto profesionālajā pilnveidē" izteiktie priekšlikumi par mācību kvalitātes uzlabošanu. </w:t>
            </w:r>
            <w:r w:rsidR="00A7587E" w:rsidRPr="00E10694">
              <w:rPr>
                <w:rFonts w:eastAsia="Times New Roman"/>
                <w:sz w:val="20"/>
                <w:szCs w:val="20"/>
                <w:lang w:eastAsia="en-GB" w:bidi="ne-NP"/>
              </w:rPr>
              <w:t xml:space="preserve">Pielikumā pievienojam </w:t>
            </w:r>
            <w:r w:rsidR="00A53B1B" w:rsidRPr="00E10694">
              <w:rPr>
                <w:rFonts w:eastAsia="Times New Roman"/>
                <w:sz w:val="20"/>
                <w:szCs w:val="20"/>
                <w:lang w:eastAsia="en-GB" w:bidi="ne-NP"/>
              </w:rPr>
              <w:t>E</w:t>
            </w:r>
            <w:r w:rsidR="00A7587E" w:rsidRPr="00E10694">
              <w:rPr>
                <w:rFonts w:eastAsia="Times New Roman"/>
                <w:sz w:val="20"/>
                <w:szCs w:val="20"/>
                <w:lang w:eastAsia="en-GB" w:bidi="ne-NP"/>
              </w:rPr>
              <w:t>xcel failos</w:t>
            </w:r>
            <w:r w:rsidR="003B7DC3">
              <w:rPr>
                <w:rFonts w:eastAsia="Times New Roman"/>
                <w:sz w:val="20"/>
                <w:szCs w:val="20"/>
                <w:lang w:eastAsia="en-GB" w:bidi="ne-NP"/>
              </w:rPr>
              <w:t xml:space="preserve"> (Pielikums Nr.2)</w:t>
            </w:r>
            <w:r w:rsidR="00A7587E" w:rsidRPr="00E10694">
              <w:rPr>
                <w:rFonts w:eastAsia="Times New Roman"/>
                <w:sz w:val="20"/>
                <w:szCs w:val="20"/>
                <w:lang w:eastAsia="en-GB" w:bidi="ne-NP"/>
              </w:rPr>
              <w:t xml:space="preserve"> apkopotos datus</w:t>
            </w:r>
            <w:r w:rsidR="0087550E" w:rsidRPr="00E10694">
              <w:rPr>
                <w:rFonts w:eastAsia="Times New Roman"/>
                <w:sz w:val="20"/>
                <w:szCs w:val="20"/>
                <w:lang w:eastAsia="en-GB" w:bidi="ne-NP"/>
              </w:rPr>
              <w:t>,</w:t>
            </w:r>
            <w:r w:rsidR="00A7587E" w:rsidRPr="00E10694">
              <w:rPr>
                <w:rFonts w:eastAsia="Times New Roman"/>
                <w:sz w:val="20"/>
                <w:szCs w:val="20"/>
                <w:lang w:eastAsia="en-GB" w:bidi="ne-NP"/>
              </w:rPr>
              <w:t xml:space="preserve"> izvilkumus no iepirkumu specifikācijām</w:t>
            </w:r>
            <w:r w:rsidR="0087550E" w:rsidRPr="00E10694">
              <w:rPr>
                <w:rFonts w:eastAsia="Times New Roman"/>
                <w:sz w:val="20"/>
                <w:szCs w:val="20"/>
                <w:lang w:eastAsia="en-GB" w:bidi="ne-NP"/>
              </w:rPr>
              <w:t xml:space="preserve"> un līgumus</w:t>
            </w:r>
            <w:r w:rsidR="00A7587E" w:rsidRPr="00E10694">
              <w:rPr>
                <w:rFonts w:eastAsia="Times New Roman"/>
                <w:sz w:val="20"/>
                <w:szCs w:val="20"/>
                <w:lang w:eastAsia="en-GB" w:bidi="ne-NP"/>
              </w:rPr>
              <w:t>, kas pamato zemāk minētās summas</w:t>
            </w:r>
            <w:r w:rsidR="00C569E4" w:rsidRPr="00E10694">
              <w:rPr>
                <w:rFonts w:eastAsia="Times New Roman"/>
                <w:sz w:val="20"/>
                <w:szCs w:val="20"/>
                <w:lang w:eastAsia="en-GB" w:bidi="ne-NP"/>
              </w:rPr>
              <w:t>:</w:t>
            </w:r>
          </w:p>
          <w:p w14:paraId="202481AF" w14:textId="668B1310" w:rsidR="00CB364E" w:rsidRPr="00E10694" w:rsidRDefault="00CB364E"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1) atbilstoši pieejamajiem datiem viena e-kursa ieviešana izmaksā 40 000 EUR</w:t>
            </w:r>
            <w:r w:rsidR="00C569E4" w:rsidRPr="00E10694">
              <w:rPr>
                <w:rFonts w:eastAsia="Times New Roman"/>
                <w:sz w:val="20"/>
                <w:szCs w:val="20"/>
                <w:lang w:eastAsia="en-GB" w:bidi="ne-NP"/>
              </w:rPr>
              <w:t>;</w:t>
            </w:r>
            <w:r w:rsidRPr="00E10694">
              <w:rPr>
                <w:rFonts w:eastAsia="Times New Roman"/>
                <w:sz w:val="20"/>
                <w:szCs w:val="20"/>
                <w:lang w:eastAsia="en-GB" w:bidi="ne-NP"/>
              </w:rPr>
              <w:t xml:space="preserve"> </w:t>
            </w:r>
          </w:p>
          <w:p w14:paraId="338FD31E" w14:textId="030F7F3F" w:rsidR="00CB364E" w:rsidRPr="00E10694" w:rsidRDefault="00CB364E"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2) specializēto mācību izmaksas uz vienu cilvēku 500 EUR</w:t>
            </w:r>
            <w:r w:rsidR="00C569E4" w:rsidRPr="00E10694">
              <w:rPr>
                <w:rFonts w:eastAsia="Times New Roman"/>
                <w:sz w:val="20"/>
                <w:szCs w:val="20"/>
                <w:lang w:eastAsia="en-GB" w:bidi="ne-NP"/>
              </w:rPr>
              <w:t>;</w:t>
            </w:r>
          </w:p>
          <w:p w14:paraId="78F25C60" w14:textId="2F79F5DC" w:rsidR="000B57A9" w:rsidRPr="00E10694" w:rsidRDefault="000B57A9" w:rsidP="000B57A9">
            <w:pPr>
              <w:pStyle w:val="ListParagraph"/>
              <w:ind w:left="137" w:right="282"/>
              <w:jc w:val="both"/>
              <w:rPr>
                <w:rFonts w:eastAsia="Times New Roman"/>
                <w:sz w:val="20"/>
                <w:szCs w:val="20"/>
              </w:rPr>
            </w:pPr>
            <w:r w:rsidRPr="00E10694">
              <w:rPr>
                <w:rFonts w:eastAsia="Times New Roman"/>
                <w:sz w:val="20"/>
                <w:szCs w:val="20"/>
              </w:rPr>
              <w:lastRenderedPageBreak/>
              <w:t>Specializētās mācības tiks organizētas ārvalstu vai citu dārgāku ekspertu vadībā, to ilgums būs vismaz 2 vai 3 dienas, ar vairākām kafijas pauzēm. Tā kā telpu nomas izmaksas Valsts administrācijas skolā un viesnīcās būtiski atšķiras, aprēķiniem tika izmantota vidējā cena. Aprēķini tika veikti gan attiecībā uz mācībām 2 dienu garumā ar dažādu kafijas paužu skaitu katrā no dienām, gan arī uz mācībām 3 dienu garumā ar dažādu kafijas paužu skaitu katrā no dienām, izmantojot vidējo telpu nomas cenu uz 1 dalībnieku. Kā vidējais dalībnieku skaits specializētajās mācībās</w:t>
            </w:r>
            <w:r w:rsidR="00A546FF" w:rsidRPr="00E10694">
              <w:rPr>
                <w:rFonts w:eastAsia="Times New Roman"/>
                <w:sz w:val="20"/>
                <w:szCs w:val="20"/>
              </w:rPr>
              <w:t>, ņemot vērā Valsts kancelejas iepriekšējo pieredzi apmācību organizēšanā,</w:t>
            </w:r>
            <w:r w:rsidRPr="00E10694">
              <w:rPr>
                <w:rFonts w:eastAsia="Times New Roman"/>
                <w:sz w:val="20"/>
                <w:szCs w:val="20"/>
              </w:rPr>
              <w:t xml:space="preserve"> tika pieņemts 25 cilvēki. Specializēto mācību izmaksu kalkulācija pievienota Excel failā </w:t>
            </w:r>
            <w:r w:rsidR="003B7DC3">
              <w:rPr>
                <w:rFonts w:eastAsia="Times New Roman"/>
                <w:sz w:val="20"/>
                <w:szCs w:val="20"/>
              </w:rPr>
              <w:t>(Pielikums Nr. 3)</w:t>
            </w:r>
            <w:r w:rsidRPr="00E10694">
              <w:rPr>
                <w:rFonts w:eastAsia="Times New Roman"/>
                <w:sz w:val="20"/>
                <w:szCs w:val="20"/>
              </w:rPr>
              <w:t>.</w:t>
            </w:r>
          </w:p>
          <w:p w14:paraId="2FA2F6BF" w14:textId="77777777" w:rsidR="00CB364E" w:rsidRPr="00E10694" w:rsidRDefault="00CB364E"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 xml:space="preserve">3) tematiskās apmācības, kur vienas vienības apmācību izmaksas sastāda 180 EUR </w:t>
            </w:r>
            <w:proofErr w:type="spellStart"/>
            <w:r w:rsidRPr="00E10694">
              <w:rPr>
                <w:rFonts w:eastAsia="Times New Roman"/>
                <w:sz w:val="20"/>
                <w:szCs w:val="20"/>
                <w:lang w:eastAsia="en-GB" w:bidi="ne-NP"/>
              </w:rPr>
              <w:t>vebināra</w:t>
            </w:r>
            <w:proofErr w:type="spellEnd"/>
            <w:r w:rsidRPr="00E10694">
              <w:rPr>
                <w:rFonts w:eastAsia="Times New Roman"/>
                <w:sz w:val="20"/>
                <w:szCs w:val="20"/>
                <w:lang w:eastAsia="en-GB" w:bidi="ne-NP"/>
              </w:rPr>
              <w:t xml:space="preserve"> formātā, bet klātienes formātā 193 EUR (180 EUR apmācības + 6 EUR telpas + 7 EUR kafijas pauzes) aprēķinātā proporcija ir 50% </w:t>
            </w:r>
            <w:proofErr w:type="spellStart"/>
            <w:r w:rsidRPr="00E10694">
              <w:rPr>
                <w:rFonts w:eastAsia="Times New Roman"/>
                <w:sz w:val="20"/>
                <w:szCs w:val="20"/>
                <w:lang w:eastAsia="en-GB" w:bidi="ne-NP"/>
              </w:rPr>
              <w:t>vebinārs</w:t>
            </w:r>
            <w:proofErr w:type="spellEnd"/>
            <w:r w:rsidRPr="00E10694">
              <w:rPr>
                <w:rFonts w:eastAsia="Times New Roman"/>
                <w:sz w:val="20"/>
                <w:szCs w:val="20"/>
                <w:lang w:eastAsia="en-GB" w:bidi="ne-NP"/>
              </w:rPr>
              <w:t xml:space="preserve"> un 50% klātiene un apmācīto.  </w:t>
            </w:r>
          </w:p>
          <w:p w14:paraId="19E0D6DB" w14:textId="0CCD50DA" w:rsidR="00CB364E" w:rsidRPr="00E10694" w:rsidRDefault="00CB364E"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Līdzvērtīga pieej</w:t>
            </w:r>
            <w:r w:rsidR="00C569E4" w:rsidRPr="00E10694">
              <w:rPr>
                <w:rFonts w:eastAsia="Times New Roman"/>
                <w:sz w:val="20"/>
                <w:szCs w:val="20"/>
                <w:lang w:eastAsia="en-GB" w:bidi="ne-NP"/>
              </w:rPr>
              <w:t>a</w:t>
            </w:r>
            <w:r w:rsidRPr="00E10694">
              <w:rPr>
                <w:rFonts w:eastAsia="Times New Roman"/>
                <w:sz w:val="20"/>
                <w:szCs w:val="20"/>
                <w:lang w:eastAsia="en-GB" w:bidi="ne-NP"/>
              </w:rPr>
              <w:t xml:space="preserve"> plānota arī Administratīvās </w:t>
            </w:r>
            <w:r w:rsidR="00C569E4" w:rsidRPr="00E10694">
              <w:rPr>
                <w:rFonts w:eastAsia="Times New Roman"/>
                <w:sz w:val="20"/>
                <w:szCs w:val="20"/>
                <w:lang w:eastAsia="en-GB" w:bidi="ne-NP"/>
              </w:rPr>
              <w:t xml:space="preserve">kapacitātes </w:t>
            </w:r>
            <w:r w:rsidRPr="00E10694">
              <w:rPr>
                <w:rFonts w:eastAsia="Times New Roman"/>
                <w:sz w:val="20"/>
                <w:szCs w:val="20"/>
                <w:lang w:eastAsia="en-GB" w:bidi="ne-NP"/>
              </w:rPr>
              <w:t>ceļa kartes ietvaros.</w:t>
            </w:r>
          </w:p>
          <w:p w14:paraId="06849AB6" w14:textId="0B5EEB9C" w:rsidR="00D63F30" w:rsidRPr="00E10694" w:rsidRDefault="00D63F30" w:rsidP="00D63F30">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 xml:space="preserve">Papildus ir apzinātas arī tirgus vērtības </w:t>
            </w:r>
            <w:proofErr w:type="spellStart"/>
            <w:r w:rsidRPr="00E10694">
              <w:rPr>
                <w:rFonts w:eastAsia="Times New Roman"/>
                <w:sz w:val="20"/>
                <w:szCs w:val="20"/>
                <w:lang w:eastAsia="en-GB" w:bidi="ne-NP"/>
              </w:rPr>
              <w:t>domnīcām</w:t>
            </w:r>
            <w:proofErr w:type="spellEnd"/>
            <w:r w:rsidR="00570A46" w:rsidRPr="00E10694">
              <w:rPr>
                <w:rFonts w:eastAsia="Times New Roman"/>
                <w:sz w:val="20"/>
                <w:szCs w:val="20"/>
                <w:lang w:eastAsia="en-GB" w:bidi="ne-NP"/>
              </w:rPr>
              <w:t xml:space="preserve"> un kompetenču ietvara izstrādei. Ņ</w:t>
            </w:r>
            <w:r w:rsidRPr="00E10694">
              <w:rPr>
                <w:rFonts w:eastAsia="Times New Roman"/>
                <w:sz w:val="20"/>
                <w:szCs w:val="20"/>
                <w:lang w:eastAsia="en-GB" w:bidi="ne-NP"/>
              </w:rPr>
              <w:t xml:space="preserve">emot vērā Valsts administrācijas skolas iepriekšējo pieredzi </w:t>
            </w:r>
            <w:proofErr w:type="spellStart"/>
            <w:r w:rsidRPr="00E10694">
              <w:rPr>
                <w:rFonts w:eastAsia="Times New Roman"/>
                <w:sz w:val="20"/>
                <w:szCs w:val="20"/>
                <w:lang w:eastAsia="en-GB" w:bidi="ne-NP"/>
              </w:rPr>
              <w:t>domnīcu</w:t>
            </w:r>
            <w:proofErr w:type="spellEnd"/>
            <w:r w:rsidRPr="00E10694">
              <w:rPr>
                <w:rFonts w:eastAsia="Times New Roman"/>
                <w:sz w:val="20"/>
                <w:szCs w:val="20"/>
                <w:lang w:eastAsia="en-GB" w:bidi="ne-NP"/>
              </w:rPr>
              <w:t xml:space="preserve"> organizēšanā, vienas </w:t>
            </w:r>
            <w:proofErr w:type="spellStart"/>
            <w:r w:rsidRPr="00E10694">
              <w:rPr>
                <w:rFonts w:eastAsia="Times New Roman"/>
                <w:sz w:val="20"/>
                <w:szCs w:val="20"/>
                <w:lang w:eastAsia="en-GB" w:bidi="ne-NP"/>
              </w:rPr>
              <w:t>domnīcas</w:t>
            </w:r>
            <w:proofErr w:type="spellEnd"/>
            <w:r w:rsidR="00807580" w:rsidRPr="00E10694">
              <w:rPr>
                <w:rFonts w:eastAsia="Times New Roman"/>
                <w:sz w:val="20"/>
                <w:szCs w:val="20"/>
                <w:lang w:eastAsia="en-GB" w:bidi="ne-NP"/>
              </w:rPr>
              <w:t xml:space="preserve"> noorganizēšanas</w:t>
            </w:r>
            <w:r w:rsidRPr="00E10694">
              <w:rPr>
                <w:rFonts w:eastAsia="Times New Roman"/>
                <w:sz w:val="20"/>
                <w:szCs w:val="20"/>
                <w:lang w:eastAsia="en-GB" w:bidi="ne-NP"/>
              </w:rPr>
              <w:t xml:space="preserve"> izmaksas</w:t>
            </w:r>
            <w:r w:rsidR="00807580" w:rsidRPr="00E10694">
              <w:rPr>
                <w:rFonts w:eastAsia="Times New Roman"/>
                <w:sz w:val="20"/>
                <w:szCs w:val="20"/>
                <w:lang w:eastAsia="en-GB" w:bidi="ne-NP"/>
              </w:rPr>
              <w:t xml:space="preserve"> veido no</w:t>
            </w:r>
            <w:r w:rsidR="00D655D9" w:rsidRPr="00E10694">
              <w:rPr>
                <w:rFonts w:eastAsia="Times New Roman"/>
                <w:sz w:val="20"/>
                <w:szCs w:val="20"/>
                <w:lang w:eastAsia="en-GB" w:bidi="ne-NP"/>
              </w:rPr>
              <w:t xml:space="preserve"> </w:t>
            </w:r>
            <w:r w:rsidR="00807580" w:rsidRPr="00E10694">
              <w:rPr>
                <w:rFonts w:eastAsia="Times New Roman"/>
                <w:sz w:val="20"/>
                <w:szCs w:val="20"/>
                <w:lang w:eastAsia="en-GB" w:bidi="ne-NP"/>
              </w:rPr>
              <w:t>10 000 EUR līdz 25 000 EUR</w:t>
            </w:r>
            <w:r w:rsidR="003A1423" w:rsidRPr="00E10694">
              <w:rPr>
                <w:rFonts w:eastAsia="Times New Roman"/>
                <w:sz w:val="20"/>
                <w:szCs w:val="20"/>
                <w:lang w:eastAsia="en-GB" w:bidi="ne-NP"/>
              </w:rPr>
              <w:t xml:space="preserve"> bez PVN</w:t>
            </w:r>
            <w:r w:rsidR="00807580" w:rsidRPr="00E10694">
              <w:rPr>
                <w:rFonts w:eastAsia="Times New Roman"/>
                <w:sz w:val="20"/>
                <w:szCs w:val="20"/>
                <w:lang w:eastAsia="en-GB" w:bidi="ne-NP"/>
              </w:rPr>
              <w:t xml:space="preserve"> (izmaksas atkarīgas no </w:t>
            </w:r>
            <w:proofErr w:type="spellStart"/>
            <w:r w:rsidR="00D655D9" w:rsidRPr="00E10694">
              <w:rPr>
                <w:rFonts w:eastAsia="Times New Roman"/>
                <w:sz w:val="20"/>
                <w:szCs w:val="20"/>
                <w:lang w:eastAsia="en-GB" w:bidi="ne-NP"/>
              </w:rPr>
              <w:t>domnīcā</w:t>
            </w:r>
            <w:proofErr w:type="spellEnd"/>
            <w:r w:rsidR="00D655D9" w:rsidRPr="00E10694">
              <w:rPr>
                <w:rFonts w:eastAsia="Times New Roman"/>
                <w:sz w:val="20"/>
                <w:szCs w:val="20"/>
                <w:lang w:eastAsia="en-GB" w:bidi="ne-NP"/>
              </w:rPr>
              <w:t xml:space="preserve"> </w:t>
            </w:r>
            <w:r w:rsidR="00807580" w:rsidRPr="00E10694">
              <w:rPr>
                <w:rFonts w:eastAsia="Times New Roman"/>
                <w:sz w:val="20"/>
                <w:szCs w:val="20"/>
                <w:lang w:eastAsia="en-GB" w:bidi="ne-NP"/>
              </w:rPr>
              <w:t xml:space="preserve">plānoto nodarbību skaita un veida (klātienē, attālināti), ilguma un dalībnieku skaita), administratīvās kapacitātes ceļa kartes ietvaros plānotajām </w:t>
            </w:r>
            <w:proofErr w:type="spellStart"/>
            <w:r w:rsidR="00807580" w:rsidRPr="00E10694">
              <w:rPr>
                <w:rFonts w:eastAsia="Times New Roman"/>
                <w:sz w:val="20"/>
                <w:szCs w:val="20"/>
                <w:lang w:eastAsia="en-GB" w:bidi="ne-NP"/>
              </w:rPr>
              <w:t>domnīcām</w:t>
            </w:r>
            <w:proofErr w:type="spellEnd"/>
            <w:r w:rsidR="00807580" w:rsidRPr="00E10694">
              <w:rPr>
                <w:rFonts w:eastAsia="Times New Roman"/>
                <w:sz w:val="20"/>
                <w:szCs w:val="20"/>
                <w:lang w:eastAsia="en-GB" w:bidi="ne-NP"/>
              </w:rPr>
              <w:t xml:space="preserve"> </w:t>
            </w:r>
            <w:proofErr w:type="spellStart"/>
            <w:r w:rsidR="00807580" w:rsidRPr="00E10694">
              <w:rPr>
                <w:rFonts w:eastAsia="Times New Roman"/>
                <w:sz w:val="20"/>
                <w:szCs w:val="20"/>
                <w:lang w:eastAsia="en-GB" w:bidi="ne-NP"/>
              </w:rPr>
              <w:t>izmaksas</w:t>
            </w:r>
            <w:r w:rsidRPr="00E10694">
              <w:rPr>
                <w:rFonts w:eastAsia="Times New Roman"/>
                <w:sz w:val="20"/>
                <w:szCs w:val="20"/>
                <w:lang w:eastAsia="en-GB" w:bidi="ne-NP"/>
              </w:rPr>
              <w:t>tiek</w:t>
            </w:r>
            <w:proofErr w:type="spellEnd"/>
            <w:r w:rsidRPr="00E10694">
              <w:rPr>
                <w:rFonts w:eastAsia="Times New Roman"/>
                <w:sz w:val="20"/>
                <w:szCs w:val="20"/>
                <w:lang w:eastAsia="en-GB" w:bidi="ne-NP"/>
              </w:rPr>
              <w:t xml:space="preserve"> plānotas vidēji 10 000 EUR apmērā</w:t>
            </w:r>
            <w:r w:rsidR="00807580" w:rsidRPr="00E10694">
              <w:rPr>
                <w:rFonts w:eastAsia="Times New Roman"/>
                <w:sz w:val="20"/>
                <w:szCs w:val="20"/>
                <w:lang w:eastAsia="en-GB" w:bidi="ne-NP"/>
              </w:rPr>
              <w:t>,</w:t>
            </w:r>
            <w:r w:rsidR="00381991" w:rsidRPr="00E10694">
              <w:rPr>
                <w:rFonts w:eastAsia="Times New Roman"/>
                <w:sz w:val="20"/>
                <w:szCs w:val="20"/>
                <w:lang w:eastAsia="en-GB" w:bidi="ne-NP"/>
              </w:rPr>
              <w:t xml:space="preserve"> </w:t>
            </w:r>
            <w:r w:rsidR="00E35E88" w:rsidRPr="00E10694">
              <w:rPr>
                <w:rFonts w:eastAsia="Times New Roman"/>
                <w:sz w:val="20"/>
                <w:szCs w:val="20"/>
                <w:lang w:eastAsia="en-GB" w:bidi="ne-NP"/>
              </w:rPr>
              <w:t xml:space="preserve">ņemot vērā aptuveni plānoto nodarbību skaitu </w:t>
            </w:r>
            <w:r w:rsidR="003A1423" w:rsidRPr="00E10694">
              <w:rPr>
                <w:rFonts w:eastAsia="Times New Roman"/>
                <w:sz w:val="20"/>
                <w:szCs w:val="20"/>
                <w:lang w:eastAsia="en-GB" w:bidi="ne-NP"/>
              </w:rPr>
              <w:t xml:space="preserve">vienā </w:t>
            </w:r>
            <w:proofErr w:type="spellStart"/>
            <w:r w:rsidR="00E35E88" w:rsidRPr="00E10694">
              <w:rPr>
                <w:rFonts w:eastAsia="Times New Roman"/>
                <w:sz w:val="20"/>
                <w:szCs w:val="20"/>
                <w:lang w:eastAsia="en-GB" w:bidi="ne-NP"/>
              </w:rPr>
              <w:t>domnīcā</w:t>
            </w:r>
            <w:proofErr w:type="spellEnd"/>
            <w:r w:rsidR="00E35E88" w:rsidRPr="00E10694">
              <w:rPr>
                <w:rFonts w:eastAsia="Times New Roman"/>
                <w:sz w:val="20"/>
                <w:szCs w:val="20"/>
                <w:lang w:eastAsia="en-GB" w:bidi="ne-NP"/>
              </w:rPr>
              <w:t xml:space="preserve"> </w:t>
            </w:r>
            <w:r w:rsidR="00381991" w:rsidRPr="00E10694">
              <w:rPr>
                <w:rFonts w:eastAsia="Times New Roman"/>
                <w:sz w:val="20"/>
                <w:szCs w:val="20"/>
                <w:lang w:eastAsia="en-GB" w:bidi="ne-NP"/>
              </w:rPr>
              <w:t>(4 nodarbības)</w:t>
            </w:r>
            <w:r w:rsidR="002166B7" w:rsidRPr="00E10694">
              <w:rPr>
                <w:rFonts w:eastAsia="Times New Roman"/>
                <w:sz w:val="20"/>
                <w:szCs w:val="20"/>
                <w:lang w:eastAsia="en-GB" w:bidi="ne-NP"/>
              </w:rPr>
              <w:t>.</w:t>
            </w:r>
          </w:p>
          <w:p w14:paraId="6DA69811" w14:textId="45E4E788" w:rsidR="008E66A3" w:rsidRPr="00E10694" w:rsidRDefault="00D63F30"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K</w:t>
            </w:r>
            <w:r w:rsidR="008E66A3" w:rsidRPr="00E10694">
              <w:rPr>
                <w:rFonts w:eastAsia="Times New Roman"/>
                <w:sz w:val="20"/>
                <w:szCs w:val="20"/>
                <w:lang w:eastAsia="en-GB" w:bidi="ne-NP"/>
              </w:rPr>
              <w:t>ompetenču ietvara tirgus cenas sastāda 20 000 – 30 000 EUR par vienību atkarībā no amatu grupu un līmeņu skaita, kas iekļautas konkrētajā kompetenču ietvarā. Izmaksas ir pamatotas ar datiem no Valsts administrācijas skolas veiktiem 2 iepirkumiem (tirgus izpētēm) 2020. un 2021. gadā, kad uzaicinājums pieteikties iepirkumā tika izsūtīts trim pretendentiem</w:t>
            </w:r>
            <w:r w:rsidR="00B250C4" w:rsidRPr="00E10694">
              <w:rPr>
                <w:rFonts w:eastAsia="Times New Roman"/>
                <w:sz w:val="20"/>
                <w:szCs w:val="20"/>
                <w:lang w:eastAsia="en-GB" w:bidi="ne-NP"/>
              </w:rPr>
              <w:t>, un vienu Valsts kancelejas 2022.gadā noslēgtu līgumu par kompetenču ietvara izstrādi.</w:t>
            </w:r>
            <w:r w:rsidR="008E66A3" w:rsidRPr="00E10694">
              <w:rPr>
                <w:rFonts w:eastAsia="Times New Roman"/>
                <w:sz w:val="20"/>
                <w:szCs w:val="20"/>
                <w:lang w:eastAsia="en-GB" w:bidi="ne-NP"/>
              </w:rPr>
              <w:t xml:space="preserve"> </w:t>
            </w:r>
          </w:p>
          <w:p w14:paraId="352949F6" w14:textId="0D25C4DE" w:rsidR="00CB364E" w:rsidRPr="00E10694" w:rsidRDefault="00CB364E"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Rezultātu uzskaite un pierādījumu dokumentācija.</w:t>
            </w:r>
          </w:p>
          <w:p w14:paraId="7CFE3650" w14:textId="4B9423F9" w:rsidR="003F4490" w:rsidRPr="00E10694" w:rsidRDefault="003F4490"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CFLA plānotajai ES fondu projektu iesniedzēju un finansējuma saņēmēju apmierinātības aktivitāšu veikšanai izmaksas noteiktas, pamatojoties uz CFLA līdzšinējo pieredzi, noslēgtajiem līgumiem un aktuālajām tirgus izpētēm</w:t>
            </w:r>
            <w:r w:rsidR="003E01D5" w:rsidRPr="00E10694">
              <w:rPr>
                <w:rFonts w:eastAsia="Times New Roman"/>
                <w:sz w:val="20"/>
                <w:szCs w:val="20"/>
                <w:lang w:eastAsia="en-GB" w:bidi="ne-NP"/>
              </w:rPr>
              <w:t xml:space="preserve">. </w:t>
            </w:r>
            <w:r w:rsidRPr="00E10694">
              <w:rPr>
                <w:rFonts w:eastAsia="Times New Roman"/>
                <w:sz w:val="20"/>
                <w:szCs w:val="20"/>
                <w:lang w:eastAsia="en-GB" w:bidi="ne-NP"/>
              </w:rPr>
              <w:t>SKDS divas aptaujas gadā izmaksā aptuveni 15 000 EUR</w:t>
            </w:r>
            <w:r w:rsidR="003E01D5" w:rsidRPr="00E10694">
              <w:rPr>
                <w:rFonts w:eastAsia="Times New Roman"/>
                <w:sz w:val="20"/>
                <w:szCs w:val="20"/>
                <w:lang w:eastAsia="en-GB" w:bidi="ne-NP"/>
              </w:rPr>
              <w:t xml:space="preserve">, bet </w:t>
            </w:r>
            <w:r w:rsidR="00222E57" w:rsidRPr="00E10694">
              <w:rPr>
                <w:rFonts w:eastAsia="Times New Roman"/>
                <w:sz w:val="20"/>
                <w:szCs w:val="20"/>
                <w:lang w:eastAsia="en-GB" w:bidi="ne-NP"/>
              </w:rPr>
              <w:t xml:space="preserve">viens </w:t>
            </w:r>
            <w:r w:rsidR="003E01D5" w:rsidRPr="00E10694">
              <w:rPr>
                <w:rFonts w:eastAsia="Times New Roman"/>
                <w:sz w:val="20"/>
                <w:szCs w:val="20"/>
                <w:lang w:eastAsia="en-GB" w:bidi="ne-NP"/>
              </w:rPr>
              <w:t>seminār</w:t>
            </w:r>
            <w:r w:rsidR="00222E57" w:rsidRPr="00E10694">
              <w:rPr>
                <w:rFonts w:eastAsia="Times New Roman"/>
                <w:sz w:val="20"/>
                <w:szCs w:val="20"/>
                <w:lang w:eastAsia="en-GB" w:bidi="ne-NP"/>
              </w:rPr>
              <w:t>s</w:t>
            </w:r>
            <w:r w:rsidRPr="00E10694">
              <w:rPr>
                <w:rFonts w:eastAsia="Times New Roman"/>
                <w:sz w:val="20"/>
                <w:szCs w:val="20"/>
                <w:lang w:eastAsia="en-GB" w:bidi="ne-NP"/>
              </w:rPr>
              <w:t>, kas tiek raidīt</w:t>
            </w:r>
            <w:r w:rsidR="00222E57" w:rsidRPr="00E10694">
              <w:rPr>
                <w:rFonts w:eastAsia="Times New Roman"/>
                <w:sz w:val="20"/>
                <w:szCs w:val="20"/>
                <w:lang w:eastAsia="en-GB" w:bidi="ne-NP"/>
              </w:rPr>
              <w:t>s</w:t>
            </w:r>
            <w:r w:rsidRPr="00E10694">
              <w:rPr>
                <w:rFonts w:eastAsia="Times New Roman"/>
                <w:sz w:val="20"/>
                <w:szCs w:val="20"/>
                <w:lang w:eastAsia="en-GB" w:bidi="ne-NP"/>
              </w:rPr>
              <w:t xml:space="preserve"> </w:t>
            </w:r>
            <w:r w:rsidR="00222E57" w:rsidRPr="00E10694">
              <w:rPr>
                <w:rFonts w:eastAsia="Times New Roman"/>
                <w:sz w:val="20"/>
                <w:szCs w:val="20"/>
                <w:lang w:eastAsia="en-GB" w:bidi="ne-NP"/>
              </w:rPr>
              <w:t xml:space="preserve">tiešsaistes </w:t>
            </w:r>
            <w:r w:rsidRPr="00E10694">
              <w:rPr>
                <w:rFonts w:eastAsia="Times New Roman"/>
                <w:sz w:val="20"/>
                <w:szCs w:val="20"/>
                <w:lang w:eastAsia="en-GB" w:bidi="ne-NP"/>
              </w:rPr>
              <w:t>kanālos</w:t>
            </w:r>
            <w:r w:rsidR="00222E57" w:rsidRPr="00E10694">
              <w:rPr>
                <w:rFonts w:eastAsia="Times New Roman"/>
                <w:sz w:val="20"/>
                <w:szCs w:val="20"/>
                <w:lang w:eastAsia="en-GB" w:bidi="ne-NP"/>
              </w:rPr>
              <w:t xml:space="preserve">, </w:t>
            </w:r>
            <w:r w:rsidRPr="00E10694">
              <w:rPr>
                <w:rFonts w:eastAsia="Times New Roman"/>
                <w:sz w:val="20"/>
                <w:szCs w:val="20"/>
                <w:lang w:eastAsia="en-GB" w:bidi="ne-NP"/>
              </w:rPr>
              <w:t xml:space="preserve">izmaksā aptuveni  </w:t>
            </w:r>
            <w:r w:rsidR="00222E57" w:rsidRPr="00E10694">
              <w:rPr>
                <w:rFonts w:eastAsia="Times New Roman"/>
                <w:sz w:val="20"/>
                <w:szCs w:val="20"/>
                <w:lang w:eastAsia="en-GB" w:bidi="ne-NP"/>
              </w:rPr>
              <w:t xml:space="preserve">6667 EUR. </w:t>
            </w:r>
          </w:p>
          <w:p w14:paraId="0D34E92B" w14:textId="2770B1C5" w:rsidR="007E4F6A" w:rsidRPr="00E10694" w:rsidRDefault="007E4F6A" w:rsidP="00CB364E">
            <w:pPr>
              <w:spacing w:after="0" w:line="240" w:lineRule="auto"/>
              <w:ind w:left="138" w:right="212"/>
              <w:jc w:val="both"/>
              <w:rPr>
                <w:rFonts w:eastAsia="Times New Roman"/>
                <w:sz w:val="20"/>
                <w:szCs w:val="20"/>
                <w:lang w:eastAsia="en-GB" w:bidi="ne-NP"/>
              </w:rPr>
            </w:pPr>
            <w:r w:rsidRPr="00E10694">
              <w:rPr>
                <w:rFonts w:eastAsia="Times New Roman"/>
                <w:sz w:val="20"/>
                <w:szCs w:val="20"/>
                <w:lang w:eastAsia="en-GB" w:bidi="ne-NP"/>
              </w:rPr>
              <w:t>IUB tīmekļa vietnes</w:t>
            </w:r>
            <w:r w:rsidR="00A10CE8" w:rsidRPr="00E10694">
              <w:rPr>
                <w:rFonts w:eastAsia="Times New Roman"/>
                <w:sz w:val="20"/>
                <w:szCs w:val="20"/>
                <w:lang w:eastAsia="en-GB" w:bidi="ne-NP"/>
              </w:rPr>
              <w:t xml:space="preserve"> uzlabošanas izmaksas 30 000 EUR apmērā noteiktas, pamatojoties uz aktuālajiem iepirkumu datiem, kas pieejami Elektronisko iepirkumu sistēmā. Vidēji vienas cilvēkstundas izmaksas par tīmekļvietņu</w:t>
            </w:r>
            <w:r w:rsidR="00570D51" w:rsidRPr="00E10694">
              <w:rPr>
                <w:rFonts w:eastAsia="Times New Roman"/>
                <w:sz w:val="20"/>
                <w:szCs w:val="20"/>
                <w:lang w:eastAsia="en-GB" w:bidi="ne-NP"/>
              </w:rPr>
              <w:t xml:space="preserve"> </w:t>
            </w:r>
            <w:r w:rsidR="00A10CE8" w:rsidRPr="00E10694">
              <w:rPr>
                <w:rFonts w:eastAsia="Times New Roman"/>
                <w:sz w:val="20"/>
                <w:szCs w:val="20"/>
                <w:lang w:eastAsia="en-GB" w:bidi="ne-NP"/>
              </w:rPr>
              <w:t>pilnveidošanas pakalpojumiem ir 14</w:t>
            </w:r>
            <w:r w:rsidR="00570D51" w:rsidRPr="00E10694">
              <w:rPr>
                <w:rFonts w:eastAsia="Times New Roman"/>
                <w:sz w:val="20"/>
                <w:szCs w:val="20"/>
                <w:lang w:eastAsia="en-GB" w:bidi="ne-NP"/>
              </w:rPr>
              <w:t xml:space="preserve">5 </w:t>
            </w:r>
            <w:r w:rsidR="00A10CE8" w:rsidRPr="00E10694">
              <w:rPr>
                <w:rFonts w:eastAsia="Times New Roman"/>
                <w:sz w:val="20"/>
                <w:szCs w:val="20"/>
                <w:lang w:eastAsia="en-GB" w:bidi="ne-NP"/>
              </w:rPr>
              <w:t>EUR, un</w:t>
            </w:r>
            <w:r w:rsidR="00570D51" w:rsidRPr="00E10694">
              <w:rPr>
                <w:rFonts w:eastAsia="Times New Roman"/>
                <w:sz w:val="20"/>
                <w:szCs w:val="20"/>
                <w:lang w:eastAsia="en-GB" w:bidi="ne-NP"/>
              </w:rPr>
              <w:t xml:space="preserve"> </w:t>
            </w:r>
            <w:r w:rsidR="00A10CE8" w:rsidRPr="00E10694">
              <w:rPr>
                <w:rFonts w:eastAsia="Times New Roman"/>
                <w:sz w:val="20"/>
                <w:szCs w:val="20"/>
                <w:lang w:eastAsia="en-GB" w:bidi="ne-NP"/>
              </w:rPr>
              <w:t xml:space="preserve">laika periodā līdz 2026.gadam IUB plāno veikt tīmekļvietnes </w:t>
            </w:r>
            <w:r w:rsidR="00570D51" w:rsidRPr="00E10694">
              <w:rPr>
                <w:rFonts w:eastAsia="Times New Roman"/>
                <w:sz w:val="20"/>
                <w:szCs w:val="20"/>
                <w:lang w:eastAsia="en-GB" w:bidi="ne-NP"/>
              </w:rPr>
              <w:t>uzlabošanu</w:t>
            </w:r>
            <w:r w:rsidR="00A10CE8" w:rsidRPr="00E10694">
              <w:rPr>
                <w:rFonts w:eastAsia="Times New Roman"/>
                <w:sz w:val="20"/>
                <w:szCs w:val="20"/>
                <w:lang w:eastAsia="en-GB" w:bidi="ne-NP"/>
              </w:rPr>
              <w:t xml:space="preserve"> </w:t>
            </w:r>
            <w:r w:rsidR="00570D51" w:rsidRPr="00E10694">
              <w:rPr>
                <w:rFonts w:eastAsia="Times New Roman"/>
                <w:sz w:val="20"/>
                <w:szCs w:val="20"/>
                <w:lang w:eastAsia="en-GB" w:bidi="ne-NP"/>
              </w:rPr>
              <w:t xml:space="preserve">aptuveni </w:t>
            </w:r>
            <w:r w:rsidR="00A10CE8" w:rsidRPr="00E10694">
              <w:rPr>
                <w:rFonts w:eastAsia="Times New Roman"/>
                <w:sz w:val="20"/>
                <w:szCs w:val="20"/>
                <w:lang w:eastAsia="en-GB" w:bidi="ne-NP"/>
              </w:rPr>
              <w:t>200 stundu apmērā</w:t>
            </w:r>
            <w:r w:rsidR="00495DDA" w:rsidRPr="00E10694">
              <w:rPr>
                <w:rFonts w:eastAsia="Times New Roman"/>
                <w:sz w:val="20"/>
                <w:szCs w:val="20"/>
                <w:lang w:eastAsia="en-GB" w:bidi="ne-NP"/>
              </w:rPr>
              <w:t>, lai veicinātu publisko iepirkumu noteikumu ievērošanu Kohēzijas politikas īstenošanā</w:t>
            </w:r>
            <w:r w:rsidR="00A10CE8" w:rsidRPr="00E10694">
              <w:rPr>
                <w:rFonts w:eastAsia="Times New Roman"/>
                <w:sz w:val="20"/>
                <w:szCs w:val="20"/>
                <w:lang w:eastAsia="en-GB" w:bidi="ne-NP"/>
              </w:rPr>
              <w:t>.</w:t>
            </w:r>
          </w:p>
          <w:p w14:paraId="7B96A99F" w14:textId="1323996F" w:rsidR="00CB364E" w:rsidRPr="00E10694" w:rsidRDefault="00CB364E" w:rsidP="00B96CCE">
            <w:pPr>
              <w:spacing w:after="0" w:line="240" w:lineRule="auto"/>
              <w:jc w:val="both"/>
              <w:rPr>
                <w:rFonts w:eastAsia="Times New Roman"/>
                <w:sz w:val="20"/>
                <w:szCs w:val="20"/>
                <w:lang w:eastAsia="en-GB" w:bidi="ne-NP"/>
              </w:rPr>
            </w:pPr>
          </w:p>
        </w:tc>
      </w:tr>
      <w:tr w:rsidR="00E10694" w:rsidRPr="00E10694" w14:paraId="113124F6"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194"/>
              <w:gridCol w:w="2334"/>
            </w:tblGrid>
            <w:tr w:rsidR="00E10694" w:rsidRPr="00E10694" w14:paraId="51713203" w14:textId="77777777" w:rsidTr="0029696D">
              <w:tc>
                <w:tcPr>
                  <w:tcW w:w="0" w:type="auto"/>
                  <w:shd w:val="clear" w:color="auto" w:fill="auto"/>
                  <w:hideMark/>
                </w:tcPr>
                <w:p w14:paraId="4B9ABA8A"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lastRenderedPageBreak/>
                    <w:t>9.</w:t>
                  </w:r>
                </w:p>
              </w:tc>
              <w:tc>
                <w:tcPr>
                  <w:tcW w:w="0" w:type="auto"/>
                  <w:shd w:val="clear" w:color="auto" w:fill="auto"/>
                  <w:hideMark/>
                </w:tcPr>
                <w:p w14:paraId="09F32F7B"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Korekcijas(-u) metode</w:t>
                  </w:r>
                </w:p>
              </w:tc>
            </w:tr>
          </w:tbl>
          <w:p w14:paraId="7E987CFF" w14:textId="77777777" w:rsidR="00B96CCE" w:rsidRPr="00E10694" w:rsidRDefault="00B96CCE" w:rsidP="00B96CCE">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68CA2A3" w14:textId="096D69C7" w:rsidR="00B96CCE" w:rsidRPr="00E10694" w:rsidRDefault="009928DC" w:rsidP="00BD38E7">
            <w:pPr>
              <w:spacing w:after="0" w:line="240" w:lineRule="auto"/>
              <w:ind w:left="143" w:right="135"/>
              <w:jc w:val="both"/>
              <w:rPr>
                <w:rFonts w:eastAsia="Times New Roman"/>
                <w:sz w:val="20"/>
                <w:szCs w:val="20"/>
                <w:lang w:eastAsia="en-GB" w:bidi="ne-NP"/>
              </w:rPr>
            </w:pPr>
            <w:r w:rsidRPr="00E10694">
              <w:rPr>
                <w:rFonts w:eastAsia="Times New Roman"/>
                <w:sz w:val="20"/>
                <w:szCs w:val="20"/>
                <w:lang w:eastAsia="en-GB" w:bidi="ne-NP"/>
              </w:rPr>
              <w:t>Kopējā</w:t>
            </w:r>
            <w:r w:rsidR="00C06B8A">
              <w:rPr>
                <w:rFonts w:eastAsia="Times New Roman"/>
                <w:sz w:val="20"/>
                <w:szCs w:val="20"/>
                <w:lang w:eastAsia="en-GB" w:bidi="ne-NP"/>
              </w:rPr>
              <w:t>s</w:t>
            </w:r>
            <w:r w:rsidRPr="00E10694">
              <w:rPr>
                <w:rFonts w:eastAsia="Times New Roman"/>
                <w:sz w:val="20"/>
                <w:szCs w:val="20"/>
                <w:lang w:eastAsia="en-GB" w:bidi="ne-NP"/>
              </w:rPr>
              <w:t xml:space="preserve"> </w:t>
            </w:r>
            <w:r w:rsidR="00E06DE7" w:rsidRPr="00E10694">
              <w:rPr>
                <w:rFonts w:eastAsia="Times New Roman"/>
                <w:sz w:val="20"/>
                <w:szCs w:val="20"/>
                <w:lang w:eastAsia="en-GB" w:bidi="ne-NP"/>
              </w:rPr>
              <w:t xml:space="preserve">finanšu </w:t>
            </w:r>
            <w:r w:rsidRPr="00E10694">
              <w:rPr>
                <w:rFonts w:eastAsia="Times New Roman"/>
                <w:sz w:val="20"/>
                <w:szCs w:val="20"/>
                <w:lang w:eastAsia="en-GB" w:bidi="ne-NP"/>
              </w:rPr>
              <w:t xml:space="preserve">summas </w:t>
            </w:r>
            <w:r w:rsidR="00C06B8A">
              <w:rPr>
                <w:rFonts w:eastAsia="Times New Roman"/>
                <w:sz w:val="20"/>
                <w:szCs w:val="20"/>
                <w:lang w:eastAsia="en-GB" w:bidi="ne-NP"/>
              </w:rPr>
              <w:t xml:space="preserve">automātiska </w:t>
            </w:r>
            <w:r w:rsidR="003F3E8A" w:rsidRPr="00E10694">
              <w:rPr>
                <w:rFonts w:eastAsia="Times New Roman"/>
                <w:sz w:val="20"/>
                <w:szCs w:val="20"/>
                <w:lang w:eastAsia="en-GB" w:bidi="ne-NP"/>
              </w:rPr>
              <w:t xml:space="preserve">pārskatīšana </w:t>
            </w:r>
            <w:r w:rsidRPr="00E10694">
              <w:rPr>
                <w:rFonts w:eastAsia="Times New Roman"/>
                <w:sz w:val="20"/>
                <w:szCs w:val="20"/>
                <w:lang w:eastAsia="en-GB" w:bidi="ne-NP"/>
              </w:rPr>
              <w:t>nav plānota</w:t>
            </w:r>
            <w:r w:rsidR="003F3E8A" w:rsidRPr="00E10694">
              <w:rPr>
                <w:rFonts w:eastAsia="Times New Roman"/>
                <w:sz w:val="20"/>
                <w:szCs w:val="20"/>
                <w:lang w:eastAsia="en-GB" w:bidi="ne-NP"/>
              </w:rPr>
              <w:t>, izņemot gadījumus, ja tiek nacionālā līmenī pārdalīs finansējums, kā rezultātā iespēja novirzīt papildus līdzekļus uzskaitīto mērķu sasniegšanai</w:t>
            </w:r>
            <w:r w:rsidRPr="00E10694">
              <w:rPr>
                <w:rFonts w:eastAsia="Times New Roman"/>
                <w:sz w:val="20"/>
                <w:szCs w:val="20"/>
                <w:lang w:eastAsia="en-GB" w:bidi="ne-NP"/>
              </w:rPr>
              <w:t xml:space="preserve">. </w:t>
            </w:r>
            <w:r w:rsidR="003F3E8A" w:rsidRPr="00E10694">
              <w:rPr>
                <w:rFonts w:eastAsia="Times New Roman"/>
                <w:sz w:val="20"/>
                <w:szCs w:val="20"/>
                <w:lang w:eastAsia="en-GB" w:bidi="ne-NP"/>
              </w:rPr>
              <w:t xml:space="preserve">Pārskatīšana </w:t>
            </w:r>
            <w:r w:rsidRPr="00E10694">
              <w:rPr>
                <w:rFonts w:eastAsia="Times New Roman"/>
                <w:sz w:val="20"/>
                <w:szCs w:val="20"/>
                <w:lang w:eastAsia="en-GB" w:bidi="ne-NP"/>
              </w:rPr>
              <w:t>pieļaujama sasniedzamo rezultātu apjomos, par to iepriekš Valsts kancelejai vienojoties ar Vadošo iestādi un Eiropas Komisiju, ja ir iestājušies būtiski apgrūtinājumi sasniegt noteiktos rezultātus</w:t>
            </w:r>
            <w:r w:rsidR="00E06DE7" w:rsidRPr="00E10694">
              <w:rPr>
                <w:rFonts w:eastAsia="Times New Roman"/>
                <w:sz w:val="20"/>
                <w:szCs w:val="20"/>
                <w:lang w:eastAsia="en-GB" w:bidi="ne-NP"/>
              </w:rPr>
              <w:t xml:space="preserve"> un tos ir iespējams dokumentāli pierādīt</w:t>
            </w:r>
            <w:r w:rsidRPr="00E10694">
              <w:rPr>
                <w:rFonts w:eastAsia="Times New Roman"/>
                <w:sz w:val="20"/>
                <w:szCs w:val="20"/>
                <w:lang w:eastAsia="en-GB" w:bidi="ne-NP"/>
              </w:rPr>
              <w:t>.</w:t>
            </w:r>
            <w:r w:rsidR="00AE5012" w:rsidRPr="00E10694">
              <w:rPr>
                <w:rFonts w:eastAsia="Times New Roman"/>
                <w:sz w:val="20"/>
                <w:szCs w:val="20"/>
                <w:lang w:eastAsia="en-GB" w:bidi="ne-NP"/>
              </w:rPr>
              <w:t xml:space="preserve"> Pārskatīšanas process notiek pēc analoģijas ar apstiprināšanas procesu.</w:t>
            </w:r>
            <w:r w:rsidR="00226812" w:rsidRPr="00E10694">
              <w:rPr>
                <w:rFonts w:eastAsia="Times New Roman"/>
                <w:sz w:val="20"/>
                <w:szCs w:val="20"/>
                <w:lang w:eastAsia="en-GB" w:bidi="ne-NP"/>
              </w:rPr>
              <w:t xml:space="preserve"> </w:t>
            </w:r>
          </w:p>
          <w:p w14:paraId="71AC538D" w14:textId="61F00A28" w:rsidR="00EB5092" w:rsidRPr="00E10694" w:rsidRDefault="00EB5092" w:rsidP="00BD38E7">
            <w:pPr>
              <w:spacing w:after="0" w:line="240" w:lineRule="auto"/>
              <w:ind w:left="143" w:right="135"/>
              <w:jc w:val="both"/>
              <w:rPr>
                <w:rFonts w:eastAsia="Times New Roman"/>
                <w:sz w:val="20"/>
                <w:szCs w:val="20"/>
                <w:lang w:eastAsia="en-GB" w:bidi="ne-NP"/>
              </w:rPr>
            </w:pPr>
          </w:p>
          <w:p w14:paraId="6C55873F" w14:textId="457F9E2E" w:rsidR="00EB5092" w:rsidRPr="00E10694" w:rsidRDefault="00EB5092" w:rsidP="00EB5092">
            <w:pPr>
              <w:spacing w:after="0" w:line="240" w:lineRule="auto"/>
              <w:ind w:left="143" w:right="135"/>
              <w:jc w:val="both"/>
              <w:rPr>
                <w:rFonts w:eastAsia="Times New Roman"/>
                <w:sz w:val="20"/>
                <w:szCs w:val="20"/>
                <w:lang w:eastAsia="en-GB" w:bidi="ne-NP"/>
              </w:rPr>
            </w:pPr>
            <w:r w:rsidRPr="00E10694">
              <w:rPr>
                <w:rFonts w:eastAsia="Times New Roman"/>
                <w:sz w:val="20"/>
                <w:szCs w:val="20"/>
                <w:lang w:eastAsia="en-GB" w:bidi="ne-NP"/>
              </w:rPr>
              <w:t>Grozījumi darbības programmā</w:t>
            </w:r>
            <w:r w:rsidR="007A20CA">
              <w:rPr>
                <w:rFonts w:eastAsia="Times New Roman"/>
                <w:sz w:val="20"/>
                <w:szCs w:val="20"/>
                <w:lang w:eastAsia="en-GB" w:bidi="ne-NP"/>
              </w:rPr>
              <w:t xml:space="preserve"> var</w:t>
            </w:r>
            <w:r w:rsidRPr="00E10694">
              <w:rPr>
                <w:rFonts w:eastAsia="Times New Roman"/>
                <w:sz w:val="20"/>
                <w:szCs w:val="20"/>
                <w:lang w:eastAsia="en-GB" w:bidi="ne-NP"/>
              </w:rPr>
              <w:t xml:space="preserve"> tik</w:t>
            </w:r>
            <w:r w:rsidR="007A20CA">
              <w:rPr>
                <w:rFonts w:eastAsia="Times New Roman"/>
                <w:sz w:val="20"/>
                <w:szCs w:val="20"/>
                <w:lang w:eastAsia="en-GB" w:bidi="ne-NP"/>
              </w:rPr>
              <w:t>t</w:t>
            </w:r>
            <w:r w:rsidRPr="00E10694">
              <w:rPr>
                <w:rFonts w:eastAsia="Times New Roman"/>
                <w:sz w:val="20"/>
                <w:szCs w:val="20"/>
                <w:lang w:eastAsia="en-GB" w:bidi="ne-NP"/>
              </w:rPr>
              <w:t xml:space="preserve"> ierosināti šādos gadījumos:</w:t>
            </w:r>
          </w:p>
          <w:p w14:paraId="316B0BBA" w14:textId="77777777" w:rsidR="00EB5092" w:rsidRPr="00E10694" w:rsidRDefault="00EB5092" w:rsidP="00EB5092">
            <w:pPr>
              <w:pStyle w:val="ListParagraph"/>
              <w:numPr>
                <w:ilvl w:val="0"/>
                <w:numId w:val="9"/>
              </w:numPr>
              <w:spacing w:after="0" w:line="240" w:lineRule="auto"/>
              <w:ind w:right="135"/>
              <w:jc w:val="both"/>
              <w:rPr>
                <w:rFonts w:eastAsia="Times New Roman"/>
                <w:sz w:val="20"/>
                <w:szCs w:val="20"/>
                <w:lang w:eastAsia="en-GB" w:bidi="ne-NP"/>
              </w:rPr>
            </w:pPr>
            <w:r w:rsidRPr="00E10694">
              <w:rPr>
                <w:rFonts w:eastAsia="Times New Roman"/>
                <w:sz w:val="20"/>
                <w:szCs w:val="20"/>
                <w:lang w:eastAsia="en-GB" w:bidi="ne-NP"/>
              </w:rPr>
              <w:t>ņemot vērā izmaiņas normatīvajos un plānošanas dokumentos, piemēram, Ministru kabineta rīkojumā “Par Publiskajā pārvaldē nodarbināto mācīšanās un attīstības plānu 2021.-2027. gadam”, Valsts pārvaldes modernizācijas plānā  vai citos politikas plānošanas dokumentos un normatīvajos aktos saistībā ar cilvēkresursu attīstību publiskajā pārvaldē, kas var ietekmēt Administratīvās kapacitātes ceļa kartes sasniedzamos mērķus vai ieguldījumu virzienus;</w:t>
            </w:r>
          </w:p>
          <w:p w14:paraId="72AD9AF6" w14:textId="77777777" w:rsidR="00EB5092" w:rsidRPr="00E10694" w:rsidRDefault="00EB5092" w:rsidP="00EB5092">
            <w:pPr>
              <w:pStyle w:val="ListParagraph"/>
              <w:numPr>
                <w:ilvl w:val="0"/>
                <w:numId w:val="9"/>
              </w:numPr>
              <w:spacing w:after="0" w:line="240" w:lineRule="auto"/>
              <w:ind w:right="135"/>
              <w:jc w:val="both"/>
              <w:rPr>
                <w:rFonts w:eastAsia="Times New Roman"/>
                <w:sz w:val="20"/>
                <w:szCs w:val="20"/>
                <w:lang w:eastAsia="en-GB" w:bidi="ne-NP"/>
              </w:rPr>
            </w:pPr>
            <w:r w:rsidRPr="00E10694">
              <w:rPr>
                <w:rFonts w:eastAsia="Times New Roman"/>
                <w:sz w:val="20"/>
                <w:szCs w:val="20"/>
                <w:lang w:eastAsia="en-GB" w:bidi="ne-NP"/>
              </w:rPr>
              <w:t xml:space="preserve">ja tiks konstatēts, ka nav iespējams sasniegt pasākumā plānoto rezultātu un novirze no plānotā pārsniedz 20%, piemēram, plānoto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dalībnieku skaitu citu objektīvu iemeslu dēļ vai kāds no pasākumiem zaudējis aktualitāti un tā vietā nepieciešams īstenot citu pasākumu, kas veicinātu Administratīvās kapacitātes ceļa kartes mērķu sasniegšanu.</w:t>
            </w:r>
          </w:p>
          <w:p w14:paraId="091EB8A5" w14:textId="77777777" w:rsidR="00EB5092" w:rsidRPr="00E10694" w:rsidRDefault="00EB5092" w:rsidP="00EB5092">
            <w:pPr>
              <w:pStyle w:val="ListParagraph"/>
              <w:spacing w:after="0" w:line="240" w:lineRule="auto"/>
              <w:ind w:left="503" w:right="135"/>
              <w:jc w:val="both"/>
              <w:rPr>
                <w:rFonts w:eastAsia="Times New Roman"/>
                <w:sz w:val="20"/>
                <w:szCs w:val="20"/>
                <w:lang w:eastAsia="en-GB" w:bidi="ne-NP"/>
              </w:rPr>
            </w:pPr>
          </w:p>
          <w:p w14:paraId="7A9E4D5B" w14:textId="0D45EF3B" w:rsidR="00EB5092" w:rsidRPr="00E10694" w:rsidRDefault="00EB5092" w:rsidP="00EB5092">
            <w:pPr>
              <w:spacing w:after="0" w:line="240" w:lineRule="auto"/>
              <w:ind w:left="143" w:right="135"/>
              <w:jc w:val="both"/>
              <w:rPr>
                <w:rFonts w:eastAsia="Times New Roman"/>
                <w:sz w:val="20"/>
                <w:szCs w:val="20"/>
                <w:lang w:eastAsia="en-GB" w:bidi="ne-NP"/>
              </w:rPr>
            </w:pPr>
            <w:r w:rsidRPr="00E10694">
              <w:rPr>
                <w:rFonts w:eastAsia="Times New Roman"/>
                <w:sz w:val="20"/>
                <w:szCs w:val="20"/>
                <w:lang w:eastAsia="en-GB" w:bidi="ne-NP"/>
              </w:rPr>
              <w:t>Ņemot vērā, ka vairāki pasākumi tiek īstenoti vairākus gadus un rezultāti tiek sasniegti vairākos starpposmos, tad gadījumos, kad kādā no starpposma nodevumiem netiek sasniegts plānotais rezultāts</w:t>
            </w:r>
            <w:r w:rsidR="00C10CCD">
              <w:rPr>
                <w:rFonts w:eastAsia="Times New Roman"/>
                <w:sz w:val="20"/>
                <w:szCs w:val="20"/>
                <w:lang w:eastAsia="en-GB" w:bidi="ne-NP"/>
              </w:rPr>
              <w:t xml:space="preserve">, </w:t>
            </w:r>
            <w:r w:rsidRPr="00E10694">
              <w:rPr>
                <w:rFonts w:eastAsia="Times New Roman"/>
                <w:sz w:val="20"/>
                <w:szCs w:val="20"/>
                <w:lang w:eastAsia="en-GB" w:bidi="ne-NP"/>
              </w:rPr>
              <w:t>to iespējams sasniegt nākošajā starpposma periodā</w:t>
            </w:r>
            <w:r w:rsidR="00C10CCD">
              <w:rPr>
                <w:rFonts w:eastAsia="Times New Roman"/>
                <w:sz w:val="20"/>
                <w:szCs w:val="20"/>
                <w:lang w:eastAsia="en-GB" w:bidi="ne-NP"/>
              </w:rPr>
              <w:t xml:space="preserve">, bet </w:t>
            </w:r>
            <w:r w:rsidR="00CC2E53" w:rsidRPr="00C10CCD">
              <w:rPr>
                <w:rFonts w:eastAsia="Times New Roman"/>
                <w:sz w:val="20"/>
                <w:szCs w:val="20"/>
                <w:lang w:eastAsia="en-GB" w:bidi="ne-NP"/>
              </w:rPr>
              <w:t xml:space="preserve">finansējums tiks attiecināts nākošā </w:t>
            </w:r>
            <w:r w:rsidR="0056579E" w:rsidRPr="00C10CCD">
              <w:rPr>
                <w:rFonts w:eastAsia="Times New Roman"/>
                <w:sz w:val="20"/>
                <w:szCs w:val="20"/>
                <w:lang w:eastAsia="en-GB" w:bidi="ne-NP"/>
              </w:rPr>
              <w:t>starpposma</w:t>
            </w:r>
            <w:r w:rsidR="00CC2E53" w:rsidRPr="00C10CCD">
              <w:rPr>
                <w:rFonts w:eastAsia="Times New Roman"/>
                <w:sz w:val="20"/>
                <w:szCs w:val="20"/>
                <w:lang w:eastAsia="en-GB" w:bidi="ne-NP"/>
              </w:rPr>
              <w:t xml:space="preserve"> perioda ietvaros</w:t>
            </w:r>
            <w:r w:rsidRPr="00C10CCD">
              <w:rPr>
                <w:rFonts w:eastAsia="Times New Roman"/>
                <w:sz w:val="20"/>
                <w:szCs w:val="20"/>
                <w:lang w:eastAsia="en-GB" w:bidi="ne-NP"/>
              </w:rPr>
              <w:t>.</w:t>
            </w:r>
            <w:r w:rsidRPr="00E10694">
              <w:rPr>
                <w:rFonts w:eastAsia="Times New Roman"/>
                <w:sz w:val="20"/>
                <w:szCs w:val="20"/>
                <w:lang w:eastAsia="en-GB" w:bidi="ne-NP"/>
              </w:rPr>
              <w:t xml:space="preserve">  </w:t>
            </w:r>
            <w:r w:rsidR="00CC2E53">
              <w:rPr>
                <w:rFonts w:eastAsia="Times New Roman"/>
                <w:sz w:val="20"/>
                <w:szCs w:val="20"/>
                <w:lang w:eastAsia="en-GB" w:bidi="ne-NP"/>
              </w:rPr>
              <w:t xml:space="preserve"> </w:t>
            </w:r>
          </w:p>
          <w:p w14:paraId="3B002FA8" w14:textId="5DE22031" w:rsidR="001F2DBD" w:rsidRPr="00E10694" w:rsidRDefault="001F2DBD" w:rsidP="000B1A4F">
            <w:pPr>
              <w:pStyle w:val="ListParagraph"/>
              <w:ind w:left="503" w:right="143"/>
              <w:jc w:val="both"/>
              <w:rPr>
                <w:rFonts w:eastAsia="Times New Roman"/>
                <w:sz w:val="20"/>
                <w:szCs w:val="20"/>
                <w:lang w:eastAsia="en-GB" w:bidi="ne-NP"/>
              </w:rPr>
            </w:pPr>
          </w:p>
        </w:tc>
      </w:tr>
      <w:tr w:rsidR="00E10694" w:rsidRPr="00E10694" w14:paraId="2B7FA35D"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250"/>
              <w:gridCol w:w="2278"/>
            </w:tblGrid>
            <w:tr w:rsidR="00E10694" w:rsidRPr="00E10694" w14:paraId="76FF716C" w14:textId="77777777" w:rsidTr="0029696D">
              <w:tc>
                <w:tcPr>
                  <w:tcW w:w="0" w:type="auto"/>
                  <w:shd w:val="clear" w:color="auto" w:fill="auto"/>
                  <w:hideMark/>
                </w:tcPr>
                <w:p w14:paraId="2563BE8C"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10.</w:t>
                  </w:r>
                </w:p>
              </w:tc>
              <w:tc>
                <w:tcPr>
                  <w:tcW w:w="0" w:type="auto"/>
                  <w:shd w:val="clear" w:color="auto" w:fill="auto"/>
                  <w:hideMark/>
                </w:tcPr>
                <w:p w14:paraId="7E91B7C7" w14:textId="77777777" w:rsidR="00B96CCE" w:rsidRPr="00E10694" w:rsidRDefault="00B96CCE" w:rsidP="00A24872">
                  <w:pPr>
                    <w:spacing w:after="0" w:line="240" w:lineRule="auto"/>
                    <w:ind w:right="117"/>
                    <w:jc w:val="both"/>
                    <w:rPr>
                      <w:rFonts w:eastAsia="Times New Roman"/>
                      <w:sz w:val="20"/>
                      <w:szCs w:val="20"/>
                      <w:lang w:eastAsia="en-GB" w:bidi="ne-NP"/>
                    </w:rPr>
                  </w:pPr>
                  <w:r w:rsidRPr="00E10694">
                    <w:rPr>
                      <w:rFonts w:eastAsia="Times New Roman"/>
                      <w:sz w:val="20"/>
                      <w:szCs w:val="20"/>
                      <w:lang w:eastAsia="en-GB" w:bidi="ne-NP"/>
                    </w:rPr>
                    <w:t xml:space="preserve">Rezultāta sasniegšanas vai nosacījuma (attiecīgā gadījumā arī starpposma </w:t>
                  </w:r>
                  <w:r w:rsidRPr="00E10694">
                    <w:rPr>
                      <w:rFonts w:eastAsia="Times New Roman"/>
                      <w:sz w:val="20"/>
                      <w:szCs w:val="20"/>
                      <w:lang w:eastAsia="en-GB" w:bidi="ne-NP"/>
                    </w:rPr>
                    <w:lastRenderedPageBreak/>
                    <w:t>nodevumu) izpildes verifikācija:</w:t>
                  </w:r>
                </w:p>
                <w:tbl>
                  <w:tblPr>
                    <w:tblW w:w="5000" w:type="pct"/>
                    <w:tblCellMar>
                      <w:left w:w="0" w:type="dxa"/>
                      <w:right w:w="0" w:type="dxa"/>
                    </w:tblCellMar>
                    <w:tblLook w:val="04A0" w:firstRow="1" w:lastRow="0" w:firstColumn="1" w:lastColumn="0" w:noHBand="0" w:noVBand="1"/>
                  </w:tblPr>
                  <w:tblGrid>
                    <w:gridCol w:w="318"/>
                    <w:gridCol w:w="1960"/>
                  </w:tblGrid>
                  <w:tr w:rsidR="00E10694" w:rsidRPr="00E10694" w14:paraId="66815A9B" w14:textId="77777777" w:rsidTr="0029696D">
                    <w:tc>
                      <w:tcPr>
                        <w:tcW w:w="0" w:type="auto"/>
                        <w:shd w:val="clear" w:color="auto" w:fill="auto"/>
                        <w:hideMark/>
                      </w:tcPr>
                      <w:p w14:paraId="374452F7" w14:textId="77777777" w:rsidR="00B96CCE" w:rsidRPr="00E10694" w:rsidRDefault="00B96CCE" w:rsidP="00A24872">
                        <w:pPr>
                          <w:spacing w:after="0" w:line="240" w:lineRule="auto"/>
                          <w:ind w:right="117"/>
                          <w:jc w:val="both"/>
                          <w:rPr>
                            <w:rFonts w:eastAsia="Times New Roman"/>
                            <w:sz w:val="20"/>
                            <w:szCs w:val="20"/>
                            <w:lang w:eastAsia="en-GB" w:bidi="ne-NP"/>
                          </w:rPr>
                        </w:pPr>
                        <w:r w:rsidRPr="00E10694">
                          <w:rPr>
                            <w:rFonts w:eastAsia="Times New Roman"/>
                            <w:sz w:val="20"/>
                            <w:szCs w:val="20"/>
                            <w:lang w:eastAsia="en-GB" w:bidi="ne-NP"/>
                          </w:rPr>
                          <w:t>—</w:t>
                        </w:r>
                      </w:p>
                    </w:tc>
                    <w:tc>
                      <w:tcPr>
                        <w:tcW w:w="0" w:type="auto"/>
                        <w:shd w:val="clear" w:color="auto" w:fill="auto"/>
                        <w:hideMark/>
                      </w:tcPr>
                      <w:p w14:paraId="532FA95E" w14:textId="77777777" w:rsidR="00B96CCE" w:rsidRPr="00E10694" w:rsidRDefault="00B96CCE" w:rsidP="00A24872">
                        <w:pPr>
                          <w:spacing w:after="0" w:line="240" w:lineRule="auto"/>
                          <w:ind w:right="117"/>
                          <w:jc w:val="both"/>
                          <w:rPr>
                            <w:rFonts w:eastAsia="Times New Roman"/>
                            <w:sz w:val="20"/>
                            <w:szCs w:val="20"/>
                            <w:lang w:eastAsia="en-GB" w:bidi="ne-NP"/>
                          </w:rPr>
                        </w:pPr>
                        <w:r w:rsidRPr="00E10694">
                          <w:rPr>
                            <w:rFonts w:eastAsia="Times New Roman"/>
                            <w:sz w:val="20"/>
                            <w:szCs w:val="20"/>
                            <w:lang w:eastAsia="en-GB" w:bidi="ne-NP"/>
                          </w:rPr>
                          <w:t>aprakstiet, kādu(-s) dokumentu(-s)/sistēmu izmantos, lai verificētu rezultāta sasniegšanu vai nosacījuma (un attiecīgā gadījumā arī katra starpposma nodevuma) izpildi;</w:t>
                        </w:r>
                      </w:p>
                    </w:tc>
                  </w:tr>
                </w:tbl>
                <w:p w14:paraId="0B7DD5E3" w14:textId="77777777" w:rsidR="00B96CCE" w:rsidRPr="00E10694" w:rsidRDefault="00B96CCE" w:rsidP="00A24872">
                  <w:pPr>
                    <w:spacing w:after="0" w:line="240" w:lineRule="auto"/>
                    <w:ind w:right="117"/>
                    <w:rPr>
                      <w:rFonts w:eastAsia="Calibri"/>
                      <w:vanish/>
                      <w:sz w:val="20"/>
                      <w:szCs w:val="20"/>
                    </w:rPr>
                  </w:pPr>
                </w:p>
                <w:tbl>
                  <w:tblPr>
                    <w:tblW w:w="5000" w:type="pct"/>
                    <w:tblCellMar>
                      <w:left w:w="0" w:type="dxa"/>
                      <w:right w:w="0" w:type="dxa"/>
                    </w:tblCellMar>
                    <w:tblLook w:val="04A0" w:firstRow="1" w:lastRow="0" w:firstColumn="1" w:lastColumn="0" w:noHBand="0" w:noVBand="1"/>
                  </w:tblPr>
                  <w:tblGrid>
                    <w:gridCol w:w="318"/>
                    <w:gridCol w:w="1960"/>
                  </w:tblGrid>
                  <w:tr w:rsidR="00E10694" w:rsidRPr="00E10694" w14:paraId="205B9500" w14:textId="77777777" w:rsidTr="0029696D">
                    <w:tc>
                      <w:tcPr>
                        <w:tcW w:w="0" w:type="auto"/>
                        <w:shd w:val="clear" w:color="auto" w:fill="auto"/>
                        <w:hideMark/>
                      </w:tcPr>
                      <w:p w14:paraId="75831651" w14:textId="77777777" w:rsidR="00B96CCE" w:rsidRPr="00E10694" w:rsidRDefault="00B96CCE" w:rsidP="00A24872">
                        <w:pPr>
                          <w:spacing w:after="0" w:line="240" w:lineRule="auto"/>
                          <w:ind w:right="117"/>
                          <w:jc w:val="both"/>
                          <w:rPr>
                            <w:rFonts w:eastAsia="Times New Roman"/>
                            <w:sz w:val="20"/>
                            <w:szCs w:val="20"/>
                            <w:lang w:eastAsia="en-GB" w:bidi="ne-NP"/>
                          </w:rPr>
                        </w:pPr>
                        <w:r w:rsidRPr="00E10694">
                          <w:rPr>
                            <w:rFonts w:eastAsia="Times New Roman"/>
                            <w:sz w:val="20"/>
                            <w:szCs w:val="20"/>
                            <w:lang w:eastAsia="en-GB" w:bidi="ne-NP"/>
                          </w:rPr>
                          <w:t>—</w:t>
                        </w:r>
                      </w:p>
                    </w:tc>
                    <w:tc>
                      <w:tcPr>
                        <w:tcW w:w="0" w:type="auto"/>
                        <w:shd w:val="clear" w:color="auto" w:fill="auto"/>
                        <w:hideMark/>
                      </w:tcPr>
                      <w:p w14:paraId="40FC0BC0" w14:textId="77777777" w:rsidR="00B96CCE" w:rsidRPr="00E10694" w:rsidRDefault="00B96CCE" w:rsidP="00A24872">
                        <w:pPr>
                          <w:spacing w:after="0" w:line="240" w:lineRule="auto"/>
                          <w:ind w:right="117"/>
                          <w:jc w:val="both"/>
                          <w:rPr>
                            <w:rFonts w:eastAsia="Times New Roman"/>
                            <w:sz w:val="20"/>
                            <w:szCs w:val="20"/>
                            <w:lang w:eastAsia="en-GB" w:bidi="ne-NP"/>
                          </w:rPr>
                        </w:pPr>
                        <w:r w:rsidRPr="00E10694">
                          <w:rPr>
                            <w:rFonts w:eastAsia="Times New Roman"/>
                            <w:sz w:val="20"/>
                            <w:szCs w:val="20"/>
                            <w:lang w:eastAsia="en-GB" w:bidi="ne-NP"/>
                          </w:rPr>
                          <w:t>aprakstiet, ko pārbaudīs pārvaldības verifikāciju laikā (t. sk. uz vietas) un kurš to veiks;</w:t>
                        </w:r>
                      </w:p>
                    </w:tc>
                  </w:tr>
                </w:tbl>
                <w:p w14:paraId="746FE914" w14:textId="77777777" w:rsidR="00B96CCE" w:rsidRPr="00E10694" w:rsidRDefault="00B96CCE" w:rsidP="00A24872">
                  <w:pPr>
                    <w:spacing w:after="0" w:line="240" w:lineRule="auto"/>
                    <w:ind w:right="117"/>
                    <w:rPr>
                      <w:rFonts w:eastAsia="Calibri"/>
                      <w:vanish/>
                      <w:sz w:val="20"/>
                      <w:szCs w:val="20"/>
                    </w:rPr>
                  </w:pPr>
                </w:p>
                <w:tbl>
                  <w:tblPr>
                    <w:tblW w:w="5000" w:type="pct"/>
                    <w:tblCellMar>
                      <w:left w:w="0" w:type="dxa"/>
                      <w:right w:w="0" w:type="dxa"/>
                    </w:tblCellMar>
                    <w:tblLook w:val="04A0" w:firstRow="1" w:lastRow="0" w:firstColumn="1" w:lastColumn="0" w:noHBand="0" w:noVBand="1"/>
                  </w:tblPr>
                  <w:tblGrid>
                    <w:gridCol w:w="318"/>
                    <w:gridCol w:w="1960"/>
                  </w:tblGrid>
                  <w:tr w:rsidR="00E10694" w:rsidRPr="00E10694" w14:paraId="5DE6B99D" w14:textId="77777777" w:rsidTr="0029696D">
                    <w:tc>
                      <w:tcPr>
                        <w:tcW w:w="0" w:type="auto"/>
                        <w:shd w:val="clear" w:color="auto" w:fill="auto"/>
                        <w:hideMark/>
                      </w:tcPr>
                      <w:p w14:paraId="044D9A6E" w14:textId="77777777" w:rsidR="00B96CCE" w:rsidRPr="00E10694" w:rsidRDefault="00B96CCE" w:rsidP="00A24872">
                        <w:pPr>
                          <w:spacing w:after="0" w:line="240" w:lineRule="auto"/>
                          <w:ind w:right="117"/>
                          <w:jc w:val="both"/>
                          <w:rPr>
                            <w:rFonts w:eastAsia="Times New Roman"/>
                            <w:sz w:val="20"/>
                            <w:szCs w:val="20"/>
                            <w:lang w:eastAsia="en-GB" w:bidi="ne-NP"/>
                          </w:rPr>
                        </w:pPr>
                        <w:r w:rsidRPr="00E10694">
                          <w:rPr>
                            <w:rFonts w:eastAsia="Times New Roman"/>
                            <w:sz w:val="20"/>
                            <w:szCs w:val="20"/>
                            <w:lang w:eastAsia="en-GB" w:bidi="ne-NP"/>
                          </w:rPr>
                          <w:t>—</w:t>
                        </w:r>
                      </w:p>
                    </w:tc>
                    <w:tc>
                      <w:tcPr>
                        <w:tcW w:w="0" w:type="auto"/>
                        <w:shd w:val="clear" w:color="auto" w:fill="auto"/>
                        <w:hideMark/>
                      </w:tcPr>
                      <w:p w14:paraId="302A32AC" w14:textId="77777777" w:rsidR="00B96CCE" w:rsidRPr="00E10694" w:rsidRDefault="00B96CCE" w:rsidP="00A24872">
                        <w:pPr>
                          <w:spacing w:after="0" w:line="240" w:lineRule="auto"/>
                          <w:ind w:right="117"/>
                          <w:jc w:val="both"/>
                          <w:rPr>
                            <w:rFonts w:eastAsia="Times New Roman"/>
                            <w:sz w:val="20"/>
                            <w:szCs w:val="20"/>
                            <w:lang w:eastAsia="en-GB" w:bidi="ne-NP"/>
                          </w:rPr>
                        </w:pPr>
                        <w:r w:rsidRPr="00E10694">
                          <w:rPr>
                            <w:rFonts w:eastAsia="Times New Roman"/>
                            <w:sz w:val="20"/>
                            <w:szCs w:val="20"/>
                            <w:lang w:eastAsia="en-GB" w:bidi="ne-NP"/>
                          </w:rPr>
                          <w:t>aprakstiet, kāda būs attiecīgo datu/dokumentu vākšanas un glabāšanas kārtība.</w:t>
                        </w:r>
                      </w:p>
                    </w:tc>
                  </w:tr>
                </w:tbl>
                <w:p w14:paraId="776BA0A9" w14:textId="77777777" w:rsidR="00B96CCE" w:rsidRPr="00E10694" w:rsidRDefault="00B96CCE" w:rsidP="00B96CCE">
                  <w:pPr>
                    <w:spacing w:after="0" w:line="240" w:lineRule="auto"/>
                    <w:rPr>
                      <w:rFonts w:eastAsia="Calibri"/>
                      <w:sz w:val="20"/>
                      <w:szCs w:val="20"/>
                    </w:rPr>
                  </w:pPr>
                </w:p>
              </w:tc>
            </w:tr>
          </w:tbl>
          <w:p w14:paraId="40AF2A28" w14:textId="77777777" w:rsidR="00B96CCE" w:rsidRPr="00E10694" w:rsidRDefault="00B96CCE" w:rsidP="00B96CCE">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4C7C3656" w14:textId="257BA4F2" w:rsidR="00230F3A" w:rsidRPr="00E10694" w:rsidRDefault="007B73EB" w:rsidP="00230F3A">
            <w:pPr>
              <w:spacing w:after="60" w:line="240" w:lineRule="auto"/>
              <w:ind w:left="203" w:right="212"/>
              <w:jc w:val="both"/>
              <w:rPr>
                <w:rFonts w:eastAsia="Times New Roman"/>
                <w:sz w:val="20"/>
                <w:szCs w:val="20"/>
                <w:lang w:eastAsia="en-GB" w:bidi="ne-NP"/>
              </w:rPr>
            </w:pPr>
            <w:r w:rsidRPr="00E10694">
              <w:rPr>
                <w:rFonts w:eastAsia="Times New Roman"/>
                <w:sz w:val="20"/>
                <w:szCs w:val="20"/>
                <w:lang w:eastAsia="en-GB" w:bidi="ne-NP"/>
              </w:rPr>
              <w:lastRenderedPageBreak/>
              <w:t>Pasākumus plānots īstenot saskaņā ar B.7.sadaļā norādīto</w:t>
            </w:r>
            <w:r w:rsidR="00230F3A" w:rsidRPr="00E10694">
              <w:rPr>
                <w:rFonts w:eastAsia="Times New Roman"/>
                <w:sz w:val="20"/>
                <w:szCs w:val="20"/>
                <w:lang w:eastAsia="en-GB" w:bidi="ne-NP"/>
              </w:rPr>
              <w:t xml:space="preserve"> un rezultātu verifikācijai plānots izmantot šādas metodes:</w:t>
            </w:r>
          </w:p>
          <w:p w14:paraId="3878E5B1" w14:textId="66F217CF" w:rsidR="003D321C" w:rsidRPr="00E10694" w:rsidRDefault="003D321C" w:rsidP="003D321C">
            <w:pPr>
              <w:pStyle w:val="ListParagraph"/>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w:t>
            </w:r>
            <w:r w:rsidRPr="00E10694">
              <w:rPr>
                <w:rFonts w:eastAsia="Times New Roman"/>
                <w:sz w:val="20"/>
                <w:szCs w:val="20"/>
                <w:lang w:eastAsia="en-GB" w:bidi="ne-NP"/>
              </w:rPr>
              <w:t xml:space="preserve"> 1.3. noorganizētas 4 </w:t>
            </w:r>
            <w:proofErr w:type="spellStart"/>
            <w:r w:rsidRPr="00E10694">
              <w:rPr>
                <w:rFonts w:eastAsia="Times New Roman"/>
                <w:sz w:val="20"/>
                <w:szCs w:val="20"/>
                <w:lang w:eastAsia="en-GB" w:bidi="ne-NP"/>
              </w:rPr>
              <w:t>domnīcas</w:t>
            </w:r>
            <w:proofErr w:type="spellEnd"/>
            <w:r w:rsidRPr="00E10694">
              <w:rPr>
                <w:rFonts w:eastAsia="Times New Roman"/>
                <w:sz w:val="20"/>
                <w:szCs w:val="20"/>
                <w:lang w:eastAsia="en-GB" w:bidi="ne-NP"/>
              </w:rPr>
              <w:t xml:space="preserve"> par Integritātes </w:t>
            </w:r>
            <w:proofErr w:type="spellStart"/>
            <w:r w:rsidRPr="00E10694">
              <w:rPr>
                <w:rFonts w:eastAsia="Times New Roman"/>
                <w:sz w:val="20"/>
                <w:szCs w:val="20"/>
                <w:lang w:eastAsia="en-GB" w:bidi="ne-NP"/>
              </w:rPr>
              <w:t>paktu</w:t>
            </w:r>
            <w:proofErr w:type="spellEnd"/>
            <w:r w:rsidRPr="00E10694">
              <w:rPr>
                <w:rFonts w:eastAsia="Times New Roman"/>
                <w:sz w:val="20"/>
                <w:szCs w:val="20"/>
                <w:lang w:eastAsia="en-GB" w:bidi="ne-NP"/>
              </w:rPr>
              <w:t xml:space="preserve"> ieviešanu Latvijā (</w:t>
            </w:r>
            <w:proofErr w:type="spellStart"/>
            <w:r w:rsidR="00420575" w:rsidRPr="00E10694">
              <w:rPr>
                <w:rFonts w:eastAsia="Times New Roman"/>
                <w:sz w:val="20"/>
                <w:szCs w:val="20"/>
                <w:lang w:eastAsia="en-GB" w:bidi="ne-NP"/>
              </w:rPr>
              <w:t>domnīcu</w:t>
            </w:r>
            <w:proofErr w:type="spellEnd"/>
            <w:r w:rsidR="00420575" w:rsidRPr="00E10694">
              <w:rPr>
                <w:rFonts w:eastAsia="Times New Roman"/>
                <w:sz w:val="20"/>
                <w:szCs w:val="20"/>
                <w:lang w:eastAsia="en-GB" w:bidi="ne-NP"/>
              </w:rPr>
              <w:t xml:space="preserve"> darba kārtības, dalībnieku saraksti</w:t>
            </w:r>
            <w:r w:rsidRPr="00E10694">
              <w:rPr>
                <w:rFonts w:eastAsia="Times New Roman"/>
                <w:sz w:val="20"/>
                <w:szCs w:val="20"/>
                <w:lang w:eastAsia="en-GB" w:bidi="ne-NP"/>
              </w:rPr>
              <w:t>); veikts 1 pētījums par starptautisko pieredzi un NVO iesaistes mehānismiem</w:t>
            </w:r>
            <w:r w:rsidR="00420575" w:rsidRPr="00E10694">
              <w:rPr>
                <w:rFonts w:eastAsia="Times New Roman"/>
                <w:sz w:val="20"/>
                <w:szCs w:val="20"/>
                <w:lang w:eastAsia="en-GB" w:bidi="ne-NP"/>
              </w:rPr>
              <w:t xml:space="preserve"> (pētījums publicēts Valsts kancelejas interneta mājas lapā)</w:t>
            </w:r>
            <w:r w:rsidRPr="00E10694">
              <w:rPr>
                <w:rFonts w:eastAsia="Times New Roman"/>
                <w:sz w:val="20"/>
                <w:szCs w:val="20"/>
                <w:lang w:eastAsia="en-GB" w:bidi="ne-NP"/>
              </w:rPr>
              <w:t xml:space="preserve">; īstenota 1 informatīvā kampaņa par Integritātes </w:t>
            </w:r>
            <w:proofErr w:type="spellStart"/>
            <w:r w:rsidRPr="00E10694">
              <w:rPr>
                <w:rFonts w:eastAsia="Times New Roman"/>
                <w:sz w:val="20"/>
                <w:szCs w:val="20"/>
                <w:lang w:eastAsia="en-GB" w:bidi="ne-NP"/>
              </w:rPr>
              <w:t>paktu</w:t>
            </w:r>
            <w:proofErr w:type="spellEnd"/>
            <w:r w:rsidRPr="00E10694">
              <w:rPr>
                <w:rFonts w:eastAsia="Times New Roman"/>
                <w:sz w:val="20"/>
                <w:szCs w:val="20"/>
                <w:lang w:eastAsia="en-GB" w:bidi="ne-NP"/>
              </w:rPr>
              <w:t xml:space="preserve"> </w:t>
            </w:r>
            <w:r w:rsidRPr="00E10694">
              <w:rPr>
                <w:rFonts w:eastAsia="Times New Roman"/>
                <w:sz w:val="20"/>
                <w:szCs w:val="20"/>
                <w:lang w:eastAsia="en-GB" w:bidi="ne-NP"/>
              </w:rPr>
              <w:lastRenderedPageBreak/>
              <w:t>ieviešanas nozīmīgumu</w:t>
            </w:r>
            <w:r w:rsidR="00420575" w:rsidRPr="00E10694">
              <w:rPr>
                <w:rFonts w:eastAsia="Times New Roman"/>
                <w:sz w:val="20"/>
                <w:szCs w:val="20"/>
                <w:lang w:eastAsia="en-GB" w:bidi="ne-NP"/>
              </w:rPr>
              <w:t xml:space="preserve"> (publikācijas, informatīvo pasākumu materiāli)</w:t>
            </w:r>
            <w:r w:rsidRPr="00E10694">
              <w:rPr>
                <w:rFonts w:eastAsia="Times New Roman"/>
                <w:sz w:val="20"/>
                <w:szCs w:val="20"/>
                <w:lang w:eastAsia="en-GB" w:bidi="ne-NP"/>
              </w:rPr>
              <w:t xml:space="preserve">; izstrādāts </w:t>
            </w:r>
            <w:r w:rsidR="00577FE3" w:rsidRPr="00E10694">
              <w:rPr>
                <w:rFonts w:eastAsia="Times New Roman"/>
                <w:sz w:val="20"/>
                <w:szCs w:val="20"/>
                <w:lang w:eastAsia="en-GB" w:bidi="ne-NP"/>
              </w:rPr>
              <w:t xml:space="preserve">1 </w:t>
            </w:r>
            <w:r w:rsidRPr="00E10694">
              <w:rPr>
                <w:rFonts w:eastAsia="Times New Roman"/>
                <w:sz w:val="20"/>
                <w:szCs w:val="20"/>
                <w:lang w:eastAsia="en-GB" w:bidi="ne-NP"/>
              </w:rPr>
              <w:t xml:space="preserve">Integritātes </w:t>
            </w:r>
            <w:proofErr w:type="spellStart"/>
            <w:r w:rsidRPr="00E10694">
              <w:rPr>
                <w:rFonts w:eastAsia="Times New Roman"/>
                <w:sz w:val="20"/>
                <w:szCs w:val="20"/>
                <w:lang w:eastAsia="en-GB" w:bidi="ne-NP"/>
              </w:rPr>
              <w:t>paktu</w:t>
            </w:r>
            <w:proofErr w:type="spellEnd"/>
            <w:r w:rsidRPr="00E10694">
              <w:rPr>
                <w:rFonts w:eastAsia="Times New Roman"/>
                <w:sz w:val="20"/>
                <w:szCs w:val="20"/>
                <w:lang w:eastAsia="en-GB" w:bidi="ne-NP"/>
              </w:rPr>
              <w:t xml:space="preserve"> ieviešanas standarts</w:t>
            </w:r>
            <w:r w:rsidR="00420575" w:rsidRPr="00E10694">
              <w:rPr>
                <w:rFonts w:eastAsia="Times New Roman"/>
                <w:sz w:val="20"/>
                <w:szCs w:val="20"/>
                <w:lang w:eastAsia="en-GB" w:bidi="ne-NP"/>
              </w:rPr>
              <w:t xml:space="preserve"> (apstiprināts un publicēts Valsts kancelejas interneta mājas lapā);</w:t>
            </w:r>
          </w:p>
          <w:p w14:paraId="11108AD9" w14:textId="767DEA0B" w:rsidR="003D321C" w:rsidRPr="00E10694" w:rsidRDefault="003D321C" w:rsidP="003D321C">
            <w:pPr>
              <w:pStyle w:val="ListParagraph"/>
              <w:spacing w:after="60" w:line="240" w:lineRule="auto"/>
              <w:ind w:left="136" w:right="142"/>
              <w:contextualSpacing w:val="0"/>
              <w:jc w:val="both"/>
              <w:rPr>
                <w:rFonts w:eastAsia="Times New Roman"/>
                <w:sz w:val="20"/>
                <w:szCs w:val="20"/>
                <w:lang w:eastAsia="en-GB" w:bidi="ne-NP"/>
              </w:rPr>
            </w:pPr>
            <w:r w:rsidRPr="00E10694">
              <w:rPr>
                <w:rFonts w:eastAsia="Times New Roman"/>
                <w:b/>
                <w:bCs/>
                <w:sz w:val="20"/>
                <w:szCs w:val="20"/>
                <w:lang w:eastAsia="en-GB" w:bidi="ne-NP"/>
              </w:rPr>
              <w:t>2)</w:t>
            </w:r>
            <w:r w:rsidRPr="00E10694">
              <w:rPr>
                <w:rFonts w:eastAsia="Times New Roman"/>
                <w:sz w:val="20"/>
                <w:szCs w:val="20"/>
                <w:lang w:eastAsia="en-GB" w:bidi="ne-NP"/>
              </w:rPr>
              <w:t xml:space="preserve"> 1.4. apmācību ietvaros stiprināta </w:t>
            </w:r>
            <w:proofErr w:type="spellStart"/>
            <w:r w:rsidRPr="00E10694">
              <w:rPr>
                <w:rFonts w:eastAsia="Times New Roman"/>
                <w:sz w:val="20"/>
                <w:szCs w:val="20"/>
                <w:lang w:eastAsia="en-GB" w:bidi="ne-NP"/>
              </w:rPr>
              <w:t>izvērtējumu</w:t>
            </w:r>
            <w:proofErr w:type="spellEnd"/>
            <w:r w:rsidRPr="00E10694">
              <w:rPr>
                <w:rFonts w:eastAsia="Times New Roman"/>
                <w:sz w:val="20"/>
                <w:szCs w:val="20"/>
                <w:lang w:eastAsia="en-GB" w:bidi="ne-NP"/>
              </w:rPr>
              <w:t xml:space="preserve"> veikšanas kapacitāte 125 valsts un pašvaldību iestāžu darbiniekiem</w:t>
            </w:r>
            <w:r w:rsidR="00420575" w:rsidRPr="00E10694">
              <w:rPr>
                <w:rFonts w:eastAsia="Times New Roman"/>
                <w:sz w:val="20"/>
                <w:szCs w:val="20"/>
                <w:lang w:eastAsia="en-GB" w:bidi="ne-NP"/>
              </w:rPr>
              <w:t xml:space="preserve"> (apmācību programmas, dalībnieku saraksti);</w:t>
            </w:r>
          </w:p>
          <w:p w14:paraId="42AB6E9D" w14:textId="65EEA7DF"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3)</w:t>
            </w:r>
            <w:r w:rsidRPr="00E10694">
              <w:rPr>
                <w:rFonts w:eastAsia="Times New Roman"/>
                <w:sz w:val="20"/>
                <w:szCs w:val="20"/>
                <w:lang w:eastAsia="en-GB" w:bidi="ne-NP"/>
              </w:rPr>
              <w:t xml:space="preserve"> 3.3. izstrādātas 1 vadlīnijas cilvēkresursu pārvaldības jautājumos</w:t>
            </w:r>
            <w:r w:rsidR="00420575" w:rsidRPr="00E10694">
              <w:rPr>
                <w:rFonts w:eastAsia="Times New Roman"/>
                <w:sz w:val="20"/>
                <w:szCs w:val="20"/>
                <w:lang w:eastAsia="en-GB" w:bidi="ne-NP"/>
              </w:rPr>
              <w:t xml:space="preserve"> (</w:t>
            </w:r>
            <w:r w:rsidR="00420575" w:rsidRPr="00E10694">
              <w:rPr>
                <w:sz w:val="20"/>
                <w:szCs w:val="20"/>
              </w:rPr>
              <w:t xml:space="preserve">vadlīnijas </w:t>
            </w:r>
            <w:r w:rsidR="00420575" w:rsidRPr="00E10694">
              <w:rPr>
                <w:rFonts w:eastAsia="Times New Roman"/>
                <w:sz w:val="20"/>
                <w:szCs w:val="20"/>
                <w:lang w:eastAsia="en-GB" w:bidi="ne-NP"/>
              </w:rPr>
              <w:t>publicētas Valsts kancelejas interneta mājas lapā)</w:t>
            </w:r>
            <w:r w:rsidRPr="00E10694">
              <w:rPr>
                <w:rFonts w:eastAsia="Times New Roman"/>
                <w:sz w:val="20"/>
                <w:szCs w:val="20"/>
                <w:lang w:eastAsia="en-GB" w:bidi="ne-NP"/>
              </w:rPr>
              <w:t>; apmācīti 120 pašvaldību darbinieki par personāla politiku izveidi un praktisku cilvēkresursu vadības rīku izstrādi</w:t>
            </w:r>
            <w:r w:rsidR="00420575" w:rsidRPr="00E10694">
              <w:rPr>
                <w:rFonts w:eastAsia="Times New Roman"/>
                <w:sz w:val="20"/>
                <w:szCs w:val="20"/>
                <w:lang w:eastAsia="en-GB" w:bidi="ne-NP"/>
              </w:rPr>
              <w:t xml:space="preserve"> (apmācību programmas, dalībnieku saraksti);</w:t>
            </w:r>
          </w:p>
          <w:p w14:paraId="45BF5753" w14:textId="6AB56B17"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4)</w:t>
            </w:r>
            <w:r w:rsidRPr="00E10694">
              <w:rPr>
                <w:rFonts w:eastAsia="Times New Roman"/>
                <w:sz w:val="20"/>
                <w:szCs w:val="20"/>
                <w:lang w:eastAsia="en-GB" w:bidi="ne-NP"/>
              </w:rPr>
              <w:t xml:space="preserve"> 4.4.  apmācīti 145 </w:t>
            </w:r>
            <w:r w:rsidR="00577FE3" w:rsidRPr="00E10694">
              <w:rPr>
                <w:rFonts w:eastAsia="Times New Roman"/>
                <w:sz w:val="20"/>
                <w:szCs w:val="20"/>
                <w:lang w:eastAsia="en-GB" w:bidi="ne-NP"/>
              </w:rPr>
              <w:t>ES</w:t>
            </w:r>
            <w:r w:rsidRPr="00E10694">
              <w:rPr>
                <w:rFonts w:eastAsia="Times New Roman"/>
                <w:sz w:val="20"/>
                <w:szCs w:val="20"/>
                <w:lang w:eastAsia="en-GB" w:bidi="ne-NP"/>
              </w:rPr>
              <w:t xml:space="preserve"> fondu </w:t>
            </w:r>
            <w:r w:rsidR="00577FE3" w:rsidRPr="00E10694">
              <w:rPr>
                <w:rFonts w:eastAsia="Times New Roman"/>
                <w:sz w:val="20"/>
                <w:szCs w:val="20"/>
                <w:lang w:eastAsia="en-GB" w:bidi="ne-NP"/>
              </w:rPr>
              <w:t>U</w:t>
            </w:r>
            <w:r w:rsidRPr="00E10694">
              <w:rPr>
                <w:rFonts w:eastAsia="Times New Roman"/>
                <w:sz w:val="20"/>
                <w:szCs w:val="20"/>
                <w:lang w:eastAsia="en-GB" w:bidi="ne-NP"/>
              </w:rPr>
              <w:t>zraudzības komitejā pārstāvēto NVO dalībnieki</w:t>
            </w:r>
            <w:r w:rsidRPr="00E10694">
              <w:t xml:space="preserve"> </w:t>
            </w:r>
            <w:r w:rsidRPr="00E10694">
              <w:rPr>
                <w:rFonts w:eastAsia="Times New Roman"/>
                <w:sz w:val="20"/>
                <w:szCs w:val="20"/>
                <w:lang w:eastAsia="en-GB" w:bidi="ne-NP"/>
              </w:rPr>
              <w:t>partnerības principa attīstīšanai un sabiedrības līdzdalības nodrošināšanai Kohēzijas politikas fondu vadības un uzraudzības procesos</w:t>
            </w:r>
            <w:r w:rsidR="00420575" w:rsidRPr="00E10694">
              <w:rPr>
                <w:rFonts w:eastAsia="Times New Roman"/>
                <w:sz w:val="20"/>
                <w:szCs w:val="20"/>
                <w:lang w:eastAsia="en-GB" w:bidi="ne-NP"/>
              </w:rPr>
              <w:t xml:space="preserve"> (apmācību programmas, dalībnieku saraksti);</w:t>
            </w:r>
          </w:p>
          <w:p w14:paraId="5885E045" w14:textId="68FE49D7"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5)</w:t>
            </w:r>
            <w:r w:rsidRPr="00E10694">
              <w:rPr>
                <w:rFonts w:eastAsia="Times New Roman"/>
                <w:sz w:val="20"/>
                <w:szCs w:val="20"/>
                <w:lang w:eastAsia="en-GB" w:bidi="ne-NP"/>
              </w:rPr>
              <w:t xml:space="preserve"> 4.5. noorganizēti 7 pasākumi (</w:t>
            </w:r>
            <w:proofErr w:type="spellStart"/>
            <w:r w:rsidRPr="00E10694">
              <w:rPr>
                <w:rFonts w:eastAsia="Times New Roman"/>
                <w:sz w:val="20"/>
                <w:szCs w:val="20"/>
                <w:lang w:eastAsia="en-GB" w:bidi="ne-NP"/>
              </w:rPr>
              <w:t>hakatoni</w:t>
            </w:r>
            <w:proofErr w:type="spellEnd"/>
            <w:r w:rsidRPr="00E10694">
              <w:rPr>
                <w:rFonts w:eastAsia="Times New Roman"/>
                <w:sz w:val="20"/>
                <w:szCs w:val="20"/>
                <w:lang w:eastAsia="en-GB" w:bidi="ne-NP"/>
              </w:rPr>
              <w:t xml:space="preserve">, </w:t>
            </w:r>
            <w:proofErr w:type="spellStart"/>
            <w:r w:rsidRPr="00E10694">
              <w:rPr>
                <w:rFonts w:eastAsia="Times New Roman"/>
                <w:sz w:val="20"/>
                <w:szCs w:val="20"/>
                <w:lang w:eastAsia="en-GB" w:bidi="ne-NP"/>
              </w:rPr>
              <w:t>domnīcas</w:t>
            </w:r>
            <w:proofErr w:type="spellEnd"/>
            <w:r w:rsidRPr="00E10694">
              <w:rPr>
                <w:rFonts w:eastAsia="Times New Roman"/>
                <w:sz w:val="20"/>
                <w:szCs w:val="20"/>
                <w:lang w:eastAsia="en-GB" w:bidi="ne-NP"/>
              </w:rPr>
              <w:t>, ikgadējās tikšanās ar nozaru ministrijām)</w:t>
            </w:r>
            <w:r w:rsidR="00AD6376">
              <w:rPr>
                <w:rFonts w:eastAsia="Times New Roman"/>
                <w:sz w:val="20"/>
                <w:szCs w:val="20"/>
                <w:lang w:eastAsia="en-GB" w:bidi="ne-NP"/>
              </w:rPr>
              <w:t xml:space="preserve"> </w:t>
            </w:r>
            <w:r w:rsidRPr="00E10694">
              <w:rPr>
                <w:rFonts w:eastAsia="Times New Roman"/>
                <w:sz w:val="20"/>
                <w:szCs w:val="20"/>
                <w:lang w:eastAsia="en-GB" w:bidi="ne-NP"/>
              </w:rPr>
              <w:t>pilsoniskās sabiedrības pārstāvjiem Kohēzijas politikas efektīvākai īstenošanai</w:t>
            </w:r>
            <w:r w:rsidR="00420575" w:rsidRPr="00E10694">
              <w:rPr>
                <w:rFonts w:eastAsia="Times New Roman"/>
                <w:sz w:val="20"/>
                <w:szCs w:val="20"/>
                <w:lang w:eastAsia="en-GB" w:bidi="ne-NP"/>
              </w:rPr>
              <w:t xml:space="preserve"> (pasākumu darba kārtības, dalībnieku saraksti);</w:t>
            </w:r>
          </w:p>
          <w:p w14:paraId="22F99E18" w14:textId="0B091845"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6)</w:t>
            </w:r>
            <w:r w:rsidRPr="00E10694">
              <w:rPr>
                <w:rFonts w:eastAsia="Times New Roman"/>
                <w:sz w:val="20"/>
                <w:szCs w:val="20"/>
                <w:lang w:eastAsia="en-GB" w:bidi="ne-NP"/>
              </w:rPr>
              <w:t xml:space="preserve"> 5.2. noorganizēti 15 semināri finansējuma saņēmēju kapacitātes paaugstināšanai</w:t>
            </w:r>
            <w:r w:rsidR="00420575" w:rsidRPr="00E10694">
              <w:rPr>
                <w:rFonts w:eastAsia="Times New Roman"/>
                <w:sz w:val="20"/>
                <w:szCs w:val="20"/>
                <w:lang w:eastAsia="en-GB" w:bidi="ne-NP"/>
              </w:rPr>
              <w:t xml:space="preserve"> (semināru programmas, dalībnieku saraksti)</w:t>
            </w:r>
            <w:r w:rsidRPr="00E10694">
              <w:rPr>
                <w:rFonts w:eastAsia="Times New Roman"/>
                <w:sz w:val="20"/>
                <w:szCs w:val="20"/>
                <w:lang w:eastAsia="en-GB" w:bidi="ne-NP"/>
              </w:rPr>
              <w:t>; veiktas 6 aptaujas ES fondu projektu iesniedzēju un finansējuma saņēmēju apmierinātības noteikšanai par informācijas pieejamību un īstenotajiem atbalsta procesiem</w:t>
            </w:r>
            <w:r w:rsidR="00E50B0E" w:rsidRPr="00E10694">
              <w:rPr>
                <w:rFonts w:eastAsia="Times New Roman"/>
                <w:sz w:val="20"/>
                <w:szCs w:val="20"/>
                <w:lang w:eastAsia="en-GB" w:bidi="ne-NP"/>
              </w:rPr>
              <w:t xml:space="preserve"> (apkopoti veikto aptauju rezultāti)</w:t>
            </w:r>
            <w:r w:rsidRPr="00E10694">
              <w:rPr>
                <w:rFonts w:eastAsia="Times New Roman"/>
                <w:sz w:val="20"/>
                <w:szCs w:val="20"/>
                <w:lang w:eastAsia="en-GB" w:bidi="ne-NP"/>
              </w:rPr>
              <w:t>;</w:t>
            </w:r>
          </w:p>
          <w:p w14:paraId="5D32CF31" w14:textId="73E451F0"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7)</w:t>
            </w:r>
            <w:r w:rsidRPr="00E10694">
              <w:rPr>
                <w:rFonts w:eastAsia="Times New Roman"/>
                <w:sz w:val="20"/>
                <w:szCs w:val="20"/>
                <w:lang w:eastAsia="en-GB" w:bidi="ne-NP"/>
              </w:rPr>
              <w:t xml:space="preserve"> 6.2. izstrādāts 1 kompetenču ietvars/projektu vadības prasmju standarts</w:t>
            </w:r>
            <w:r w:rsidR="00E50B0E" w:rsidRPr="00E10694">
              <w:rPr>
                <w:rFonts w:eastAsia="Times New Roman"/>
                <w:sz w:val="20"/>
                <w:szCs w:val="20"/>
                <w:lang w:eastAsia="en-GB" w:bidi="ne-NP"/>
              </w:rPr>
              <w:t xml:space="preserve"> (apstiprināts kompetenču ietvars, tas publicēts un pieejams Mācību pārvaldības sistēmā)</w:t>
            </w:r>
            <w:r w:rsidRPr="00E10694">
              <w:rPr>
                <w:rFonts w:eastAsia="Times New Roman"/>
                <w:sz w:val="20"/>
                <w:szCs w:val="20"/>
                <w:lang w:eastAsia="en-GB" w:bidi="ne-NP"/>
              </w:rPr>
              <w:t>;</w:t>
            </w:r>
          </w:p>
          <w:p w14:paraId="014367CA" w14:textId="3C714DBF"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8)</w:t>
            </w:r>
            <w:r w:rsidRPr="00E10694">
              <w:rPr>
                <w:rFonts w:eastAsia="Times New Roman"/>
                <w:sz w:val="20"/>
                <w:szCs w:val="20"/>
                <w:lang w:eastAsia="en-GB" w:bidi="ne-NP"/>
              </w:rPr>
              <w:t xml:space="preserve"> 6.3. apmācīti 650 projektu vadītāji</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w:t>
            </w:r>
          </w:p>
          <w:p w14:paraId="11F173D2" w14:textId="693C4DBE"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9)</w:t>
            </w:r>
            <w:r w:rsidRPr="00E10694">
              <w:rPr>
                <w:rFonts w:eastAsia="Times New Roman"/>
                <w:sz w:val="20"/>
                <w:szCs w:val="20"/>
                <w:lang w:eastAsia="en-GB" w:bidi="ne-NP"/>
              </w:rPr>
              <w:t xml:space="preserve"> 6.6. apmācīti 300 Kohēzijas politikas fondu vadības informācijas sistēma Datu analīzes rīka lietotāji</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w:t>
            </w:r>
          </w:p>
          <w:p w14:paraId="76F5050C" w14:textId="05A76517"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10)</w:t>
            </w:r>
            <w:r w:rsidRPr="00E10694">
              <w:rPr>
                <w:rFonts w:eastAsia="Times New Roman"/>
                <w:sz w:val="20"/>
                <w:szCs w:val="20"/>
                <w:lang w:eastAsia="en-GB" w:bidi="ne-NP"/>
              </w:rPr>
              <w:t xml:space="preserve"> 6.7. apmācīti iestāžu 120 iekšējie auditori</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w:t>
            </w:r>
          </w:p>
          <w:p w14:paraId="30CF86D2" w14:textId="498717B4"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11)</w:t>
            </w:r>
            <w:r w:rsidRPr="00E10694">
              <w:rPr>
                <w:rFonts w:eastAsia="Times New Roman"/>
                <w:sz w:val="20"/>
                <w:szCs w:val="20"/>
                <w:lang w:eastAsia="en-GB" w:bidi="ne-NP"/>
              </w:rPr>
              <w:t xml:space="preserve"> 7.1. apmācīti  400 </w:t>
            </w:r>
            <w:r w:rsidR="00FB7A8A" w:rsidRPr="00E10694">
              <w:rPr>
                <w:rFonts w:eastAsia="Times New Roman"/>
                <w:sz w:val="20"/>
                <w:szCs w:val="20"/>
                <w:lang w:eastAsia="en-GB" w:bidi="ne-NP"/>
              </w:rPr>
              <w:t xml:space="preserve">ES fondu </w:t>
            </w:r>
            <w:r w:rsidRPr="00E10694">
              <w:rPr>
                <w:rFonts w:eastAsia="Times New Roman"/>
                <w:sz w:val="20"/>
                <w:szCs w:val="20"/>
                <w:lang w:eastAsia="en-GB" w:bidi="ne-NP"/>
              </w:rPr>
              <w:t>vadības un kontroles sistēmas institūciju pārstāvji un valsts pārvaldes darbinieki, kuri tieši vai netieši iesaistīti Kohēzijas politikas mērķu sasniegšanā, publiskā iepirkumu jomā</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w:t>
            </w:r>
          </w:p>
          <w:p w14:paraId="24740646" w14:textId="05AE668D"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12)</w:t>
            </w:r>
            <w:r w:rsidRPr="00E10694">
              <w:rPr>
                <w:rFonts w:eastAsia="Times New Roman"/>
                <w:sz w:val="20"/>
                <w:szCs w:val="20"/>
                <w:lang w:eastAsia="en-GB" w:bidi="ne-NP"/>
              </w:rPr>
              <w:t xml:space="preserve"> 7.2. apmācīti 700 ES fondu finansējuma saņēmēju darbinieki</w:t>
            </w:r>
            <w:r w:rsidRPr="00E10694">
              <w:t xml:space="preserve"> </w:t>
            </w:r>
            <w:r w:rsidRPr="00E10694">
              <w:rPr>
                <w:rFonts w:eastAsia="Times New Roman"/>
                <w:sz w:val="20"/>
                <w:szCs w:val="20"/>
                <w:lang w:eastAsia="en-GB" w:bidi="ne-NP"/>
              </w:rPr>
              <w:t>publiskā iepirkumu jomā</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 izstrādāts 1 e-kurss publiskā iepirkumu jomā</w:t>
            </w:r>
            <w:r w:rsidR="00E50B0E" w:rsidRPr="00E10694">
              <w:rPr>
                <w:rFonts w:eastAsia="Times New Roman"/>
                <w:sz w:val="20"/>
                <w:szCs w:val="20"/>
                <w:lang w:eastAsia="en-GB" w:bidi="ne-NP"/>
              </w:rPr>
              <w:t xml:space="preserve"> (e-kurss publicēts un pieejams Mācību pārvaldības sistēmā);</w:t>
            </w:r>
          </w:p>
          <w:p w14:paraId="1221790F" w14:textId="51738890" w:rsidR="003D321C" w:rsidRPr="00E10694" w:rsidRDefault="003D321C" w:rsidP="00E50B0E">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13)</w:t>
            </w:r>
            <w:r w:rsidRPr="00E10694">
              <w:rPr>
                <w:rFonts w:eastAsia="Times New Roman"/>
                <w:sz w:val="20"/>
                <w:szCs w:val="20"/>
                <w:lang w:eastAsia="en-GB" w:bidi="ne-NP"/>
              </w:rPr>
              <w:t xml:space="preserve"> 7.3.a izstrādāts 1 e-kurss par valsts atbalsta noteikumu ievērošanu Kohēzijas politikas īstenošanā</w:t>
            </w:r>
            <w:r w:rsidR="00E50B0E" w:rsidRPr="00E10694">
              <w:rPr>
                <w:rFonts w:eastAsia="Times New Roman"/>
                <w:sz w:val="20"/>
                <w:szCs w:val="20"/>
                <w:lang w:eastAsia="en-GB" w:bidi="ne-NP"/>
              </w:rPr>
              <w:t xml:space="preserve"> (e-kurss publicēts un pieejams Mācību pārvaldības sistēmā);</w:t>
            </w:r>
          </w:p>
          <w:p w14:paraId="292DEED2" w14:textId="010DE0C7"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14)</w:t>
            </w:r>
            <w:r w:rsidRPr="00E10694">
              <w:rPr>
                <w:rFonts w:eastAsia="Times New Roman"/>
                <w:sz w:val="20"/>
                <w:szCs w:val="20"/>
                <w:lang w:eastAsia="en-GB" w:bidi="ne-NP"/>
              </w:rPr>
              <w:t xml:space="preserve"> 7.3.b apmācīti 300 </w:t>
            </w:r>
            <w:r w:rsidR="00FB7A8A" w:rsidRPr="00E10694">
              <w:rPr>
                <w:rFonts w:eastAsia="Times New Roman"/>
                <w:sz w:val="20"/>
                <w:szCs w:val="20"/>
                <w:lang w:eastAsia="en-GB" w:bidi="ne-NP"/>
              </w:rPr>
              <w:t>ES fondu</w:t>
            </w:r>
            <w:r w:rsidRPr="00E10694">
              <w:rPr>
                <w:rFonts w:eastAsia="Times New Roman"/>
                <w:sz w:val="20"/>
                <w:szCs w:val="20"/>
                <w:lang w:eastAsia="en-GB" w:bidi="ne-NP"/>
              </w:rPr>
              <w:t xml:space="preserve"> vadības un kontroles sistēmas institūciju pārstāvji un valsts pārvaldes darbinieki, kuri tieši vai netieši iesaistīti Kohēzijas politikas mērķu sasniegšanā, valsts atbalsta jomā</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w:t>
            </w:r>
          </w:p>
          <w:p w14:paraId="622FB4DF" w14:textId="4F7DCA8E"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15)</w:t>
            </w:r>
            <w:r w:rsidRPr="00E10694">
              <w:rPr>
                <w:rFonts w:eastAsia="Times New Roman"/>
                <w:sz w:val="20"/>
                <w:szCs w:val="20"/>
                <w:lang w:eastAsia="en-GB" w:bidi="ne-NP"/>
              </w:rPr>
              <w:t xml:space="preserve"> 7.4. apmācīti 400 ES fondu finansējuma saņēmēju darbinieki valsts atbalsta jomā</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w:t>
            </w:r>
          </w:p>
          <w:p w14:paraId="5B3AACE5" w14:textId="1364FD7B" w:rsidR="003D321C" w:rsidRPr="00E10694" w:rsidRDefault="003D321C" w:rsidP="00E50B0E">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16)</w:t>
            </w:r>
            <w:r w:rsidRPr="00E10694">
              <w:rPr>
                <w:rFonts w:eastAsia="Times New Roman"/>
                <w:sz w:val="20"/>
                <w:szCs w:val="20"/>
                <w:lang w:eastAsia="en-GB" w:bidi="ne-NP"/>
              </w:rPr>
              <w:t xml:space="preserve"> 7.5.a izstrādāts 1 e-kurss par interešu konflikta, krāpšanas un korupcijas novēršanu Kohēzijas politikas īstenošanā</w:t>
            </w:r>
            <w:r w:rsidR="00E50B0E" w:rsidRPr="00E10694">
              <w:rPr>
                <w:rFonts w:eastAsia="Times New Roman"/>
                <w:sz w:val="20"/>
                <w:szCs w:val="20"/>
                <w:lang w:eastAsia="en-GB" w:bidi="ne-NP"/>
              </w:rPr>
              <w:t xml:space="preserve"> (e-kurss publicēts un pieejams Mācību pārvaldības sistēmā)</w:t>
            </w:r>
            <w:r w:rsidRPr="00E10694">
              <w:rPr>
                <w:rFonts w:eastAsia="Times New Roman"/>
                <w:sz w:val="20"/>
                <w:szCs w:val="20"/>
                <w:lang w:eastAsia="en-GB" w:bidi="ne-NP"/>
              </w:rPr>
              <w:t>;</w:t>
            </w:r>
          </w:p>
          <w:p w14:paraId="7507BDE1" w14:textId="4C22C851"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17)</w:t>
            </w:r>
            <w:r w:rsidRPr="00E10694">
              <w:rPr>
                <w:rFonts w:eastAsia="Times New Roman"/>
                <w:sz w:val="20"/>
                <w:szCs w:val="20"/>
                <w:lang w:eastAsia="en-GB" w:bidi="ne-NP"/>
              </w:rPr>
              <w:t xml:space="preserve"> 7.5.b apmācīti 500 ES fondu finansējuma saņēmēju darbinieki interešu konflikta, korupcijas un krāpšanas novēršanas jomā</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w:t>
            </w:r>
          </w:p>
          <w:p w14:paraId="450C6822" w14:textId="02042705"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18)</w:t>
            </w:r>
            <w:r w:rsidRPr="00E10694">
              <w:rPr>
                <w:rFonts w:eastAsia="Times New Roman"/>
                <w:sz w:val="20"/>
                <w:szCs w:val="20"/>
                <w:lang w:eastAsia="en-GB" w:bidi="ne-NP"/>
              </w:rPr>
              <w:t xml:space="preserve"> 7.6. apmācīti 500 </w:t>
            </w:r>
            <w:r w:rsidR="00FB7A8A" w:rsidRPr="00E10694">
              <w:rPr>
                <w:rFonts w:eastAsia="Times New Roman"/>
                <w:sz w:val="20"/>
                <w:szCs w:val="20"/>
                <w:lang w:eastAsia="en-GB" w:bidi="ne-NP"/>
              </w:rPr>
              <w:t xml:space="preserve">ES fondu </w:t>
            </w:r>
            <w:r w:rsidRPr="00E10694">
              <w:rPr>
                <w:rFonts w:eastAsia="Times New Roman"/>
                <w:sz w:val="20"/>
                <w:szCs w:val="20"/>
                <w:lang w:eastAsia="en-GB" w:bidi="ne-NP"/>
              </w:rPr>
              <w:t>vadības un kontroles sistēmas institūciju pārstāvji un valsts pārvaldes darbinieki, kuri tieši vai netieši iesaistīti Kohēzijas politikas mērķu sasniegšanā, interešu konflikta, korupcijas un krāpšanas novēršanas jomā</w:t>
            </w:r>
            <w:r w:rsidR="00E50B0E" w:rsidRPr="00E10694">
              <w:rPr>
                <w:rFonts w:eastAsia="Times New Roman"/>
                <w:sz w:val="20"/>
                <w:szCs w:val="20"/>
                <w:lang w:eastAsia="en-GB" w:bidi="ne-NP"/>
              </w:rPr>
              <w:t xml:space="preserve"> (apmācību programmas, dalībnieku saraksti);</w:t>
            </w:r>
          </w:p>
          <w:p w14:paraId="0803C2E3" w14:textId="1A66B728"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19)</w:t>
            </w:r>
            <w:r w:rsidRPr="00E10694">
              <w:rPr>
                <w:rFonts w:eastAsia="Times New Roman"/>
                <w:sz w:val="20"/>
                <w:szCs w:val="20"/>
                <w:lang w:eastAsia="en-GB" w:bidi="ne-NP"/>
              </w:rPr>
              <w:t xml:space="preserve"> 8.1. apmācīti 680 </w:t>
            </w:r>
            <w:r w:rsidR="00FB7A8A" w:rsidRPr="00E10694">
              <w:rPr>
                <w:rFonts w:eastAsia="Times New Roman"/>
                <w:sz w:val="20"/>
                <w:szCs w:val="20"/>
                <w:lang w:eastAsia="en-GB" w:bidi="ne-NP"/>
              </w:rPr>
              <w:t xml:space="preserve">ES fondu </w:t>
            </w:r>
            <w:r w:rsidRPr="00E10694">
              <w:rPr>
                <w:rFonts w:eastAsia="Times New Roman"/>
                <w:sz w:val="20"/>
                <w:szCs w:val="20"/>
                <w:lang w:eastAsia="en-GB" w:bidi="ne-NP"/>
              </w:rPr>
              <w:t xml:space="preserve">vadības un kontroles sistēmas institūciju pārstāvji un valsts pārvaldes darbinieki, kuri tieši vai netieši iesaistīti Kohēzijas politikas mērķu sasniegšanā, par Kohēzijas politikas fondu plānošanu, vadību, </w:t>
            </w:r>
            <w:proofErr w:type="spellStart"/>
            <w:r w:rsidRPr="00E10694">
              <w:rPr>
                <w:rFonts w:eastAsia="Times New Roman"/>
                <w:sz w:val="20"/>
                <w:szCs w:val="20"/>
                <w:lang w:eastAsia="en-GB" w:bidi="ne-NP"/>
              </w:rPr>
              <w:t>ex-ante</w:t>
            </w:r>
            <w:proofErr w:type="spellEnd"/>
            <w:r w:rsidRPr="00E10694">
              <w:rPr>
                <w:rFonts w:eastAsia="Times New Roman"/>
                <w:sz w:val="20"/>
                <w:szCs w:val="20"/>
                <w:lang w:eastAsia="en-GB" w:bidi="ne-NP"/>
              </w:rPr>
              <w:t xml:space="preserve"> un </w:t>
            </w:r>
            <w:proofErr w:type="spellStart"/>
            <w:r w:rsidRPr="00E10694">
              <w:rPr>
                <w:rFonts w:eastAsia="Times New Roman"/>
                <w:sz w:val="20"/>
                <w:szCs w:val="20"/>
                <w:lang w:eastAsia="en-GB" w:bidi="ne-NP"/>
              </w:rPr>
              <w:t>ex</w:t>
            </w:r>
            <w:proofErr w:type="spellEnd"/>
            <w:r w:rsidRPr="00E10694">
              <w:rPr>
                <w:rFonts w:eastAsia="Times New Roman"/>
                <w:sz w:val="20"/>
                <w:szCs w:val="20"/>
                <w:lang w:eastAsia="en-GB" w:bidi="ne-NP"/>
              </w:rPr>
              <w:t>-post novērtējumu, rezultātu sasniegšanu un to publicitātes nodrošināšanu</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w:t>
            </w:r>
          </w:p>
          <w:p w14:paraId="13582C79" w14:textId="25FC6AFF"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lastRenderedPageBreak/>
              <w:t>20)</w:t>
            </w:r>
            <w:r w:rsidRPr="00E10694">
              <w:rPr>
                <w:rFonts w:eastAsia="Times New Roman"/>
                <w:sz w:val="20"/>
                <w:szCs w:val="20"/>
                <w:lang w:eastAsia="en-GB" w:bidi="ne-NP"/>
              </w:rPr>
              <w:t xml:space="preserve"> 10.5. uzlabota Iepirkumu uzraudzības biroja tīmekļa vietne (</w:t>
            </w:r>
            <w:proofErr w:type="spellStart"/>
            <w:r w:rsidR="00E50B0E" w:rsidRPr="00E10694">
              <w:rPr>
                <w:rFonts w:eastAsia="Times New Roman"/>
                <w:sz w:val="20"/>
                <w:szCs w:val="20"/>
                <w:lang w:eastAsia="en-GB" w:bidi="ne-NP"/>
              </w:rPr>
              <w:t>ekrānšāviņi</w:t>
            </w:r>
            <w:proofErr w:type="spellEnd"/>
            <w:r w:rsidR="00E50B0E" w:rsidRPr="00E10694">
              <w:rPr>
                <w:rFonts w:eastAsia="Times New Roman"/>
                <w:sz w:val="20"/>
                <w:szCs w:val="20"/>
                <w:lang w:eastAsia="en-GB" w:bidi="ne-NP"/>
              </w:rPr>
              <w:t xml:space="preserve"> uzlabotajām, pilnveidotajām, papildinātajām tīmekļvietnes sadaļām un parakstīti darbu pieņemšanas – nodošanas akti);</w:t>
            </w:r>
          </w:p>
          <w:p w14:paraId="38AEE5AA" w14:textId="55096E13" w:rsidR="003D321C" w:rsidRPr="00E10694" w:rsidRDefault="003D321C" w:rsidP="00E50B0E">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21)</w:t>
            </w:r>
            <w:r w:rsidRPr="00E10694">
              <w:rPr>
                <w:rFonts w:eastAsia="Times New Roman"/>
                <w:sz w:val="20"/>
                <w:szCs w:val="20"/>
                <w:lang w:eastAsia="en-GB" w:bidi="ne-NP"/>
              </w:rPr>
              <w:t xml:space="preserve"> 11.1.a izstrādāts 1 e-kurss datu analīzes un risku pārvaldības spēju stiprināšanai</w:t>
            </w:r>
            <w:r w:rsidR="00E50B0E" w:rsidRPr="00E10694">
              <w:rPr>
                <w:rFonts w:eastAsia="Times New Roman"/>
                <w:sz w:val="20"/>
                <w:szCs w:val="20"/>
                <w:lang w:eastAsia="en-GB" w:bidi="ne-NP"/>
              </w:rPr>
              <w:t xml:space="preserve"> (e-kurss publicēts un pieejams Mācību pārvaldības sistēmā);</w:t>
            </w:r>
          </w:p>
          <w:p w14:paraId="28AD7E14" w14:textId="21736B59" w:rsidR="003D321C" w:rsidRPr="00E10694" w:rsidRDefault="003D321C" w:rsidP="003D321C">
            <w:pPr>
              <w:spacing w:after="60" w:line="240" w:lineRule="auto"/>
              <w:ind w:left="136" w:right="142"/>
              <w:jc w:val="both"/>
              <w:rPr>
                <w:rFonts w:eastAsia="Times New Roman"/>
                <w:sz w:val="20"/>
                <w:szCs w:val="20"/>
                <w:lang w:eastAsia="en-GB" w:bidi="ne-NP"/>
              </w:rPr>
            </w:pPr>
            <w:r w:rsidRPr="00E10694">
              <w:rPr>
                <w:rFonts w:eastAsia="Times New Roman"/>
                <w:b/>
                <w:bCs/>
                <w:sz w:val="20"/>
                <w:szCs w:val="20"/>
                <w:lang w:eastAsia="en-GB" w:bidi="ne-NP"/>
              </w:rPr>
              <w:t>22)</w:t>
            </w:r>
            <w:r w:rsidRPr="00E10694">
              <w:rPr>
                <w:rFonts w:eastAsia="Times New Roman"/>
                <w:sz w:val="20"/>
                <w:szCs w:val="20"/>
                <w:lang w:eastAsia="en-GB" w:bidi="ne-NP"/>
              </w:rPr>
              <w:t xml:space="preserve"> 11.1.b – apmācīti 300 </w:t>
            </w:r>
            <w:r w:rsidR="00FB7A8A" w:rsidRPr="00E10694">
              <w:rPr>
                <w:rFonts w:eastAsia="Times New Roman"/>
                <w:sz w:val="20"/>
                <w:szCs w:val="20"/>
                <w:lang w:eastAsia="en-GB" w:bidi="ne-NP"/>
              </w:rPr>
              <w:t xml:space="preserve">ES fondu </w:t>
            </w:r>
            <w:r w:rsidRPr="00E10694">
              <w:rPr>
                <w:rFonts w:eastAsia="Times New Roman"/>
                <w:sz w:val="20"/>
                <w:szCs w:val="20"/>
                <w:lang w:eastAsia="en-GB" w:bidi="ne-NP"/>
              </w:rPr>
              <w:t>vadības un kontroles sistēmas institūciju pārstāvji un valsts pārvaldes darbinieki, kuri tieši vai netieši iesaistīti Kohēzijas politikas mērķu sasniegšanā, par datu analīzi un risku pārvaldību</w:t>
            </w:r>
            <w:r w:rsidR="00E50B0E" w:rsidRPr="00E10694">
              <w:rPr>
                <w:rFonts w:eastAsia="Times New Roman"/>
                <w:sz w:val="20"/>
                <w:szCs w:val="20"/>
                <w:lang w:eastAsia="en-GB" w:bidi="ne-NP"/>
              </w:rPr>
              <w:t xml:space="preserve"> (apmācību programmas, dalībnieku saraksti)</w:t>
            </w:r>
            <w:r w:rsidRPr="00E10694">
              <w:rPr>
                <w:rFonts w:eastAsia="Times New Roman"/>
                <w:sz w:val="20"/>
                <w:szCs w:val="20"/>
                <w:lang w:eastAsia="en-GB" w:bidi="ne-NP"/>
              </w:rPr>
              <w:t>.</w:t>
            </w:r>
          </w:p>
          <w:p w14:paraId="2A86CE78" w14:textId="37D89B9B" w:rsidR="00E50B0E" w:rsidRPr="00E10694" w:rsidRDefault="00E50B0E" w:rsidP="003D321C">
            <w:pPr>
              <w:spacing w:after="60" w:line="240" w:lineRule="auto"/>
              <w:ind w:left="136" w:right="142"/>
              <w:jc w:val="both"/>
              <w:rPr>
                <w:rFonts w:eastAsia="Times New Roman"/>
                <w:sz w:val="20"/>
                <w:szCs w:val="20"/>
                <w:lang w:eastAsia="en-GB" w:bidi="ne-NP"/>
              </w:rPr>
            </w:pPr>
            <w:r w:rsidRPr="00E10694">
              <w:rPr>
                <w:rFonts w:eastAsia="Times New Roman"/>
                <w:sz w:val="20"/>
                <w:szCs w:val="20"/>
                <w:lang w:eastAsia="en-GB" w:bidi="ne-NP"/>
              </w:rPr>
              <w:t>Dalībnieku saraksti: klātienes mācībās - apmācību dalībnieku parakstu lapas, attālinātās mācībās –</w:t>
            </w:r>
            <w:r w:rsidR="00B34FAB" w:rsidRPr="00E10694">
              <w:rPr>
                <w:rFonts w:eastAsia="Times New Roman"/>
                <w:sz w:val="20"/>
                <w:szCs w:val="20"/>
                <w:lang w:eastAsia="en-GB" w:bidi="ne-NP"/>
              </w:rPr>
              <w:t xml:space="preserve"> </w:t>
            </w:r>
            <w:proofErr w:type="spellStart"/>
            <w:r w:rsidRPr="00E10694">
              <w:rPr>
                <w:rFonts w:eastAsia="Times New Roman"/>
                <w:sz w:val="20"/>
                <w:szCs w:val="20"/>
                <w:lang w:eastAsia="en-GB" w:bidi="ne-NP"/>
              </w:rPr>
              <w:t>ekrānšāviņi</w:t>
            </w:r>
            <w:proofErr w:type="spellEnd"/>
            <w:r w:rsidRPr="00E10694">
              <w:rPr>
                <w:rFonts w:eastAsia="Times New Roman"/>
                <w:sz w:val="20"/>
                <w:szCs w:val="20"/>
                <w:lang w:eastAsia="en-GB" w:bidi="ne-NP"/>
              </w:rPr>
              <w:t xml:space="preserve"> no apmācību norises platformas.</w:t>
            </w:r>
          </w:p>
          <w:p w14:paraId="44E9AF0E" w14:textId="77777777" w:rsidR="00602692" w:rsidRPr="00E10694" w:rsidRDefault="00602692" w:rsidP="00602692">
            <w:pPr>
              <w:pStyle w:val="ListParagraph"/>
              <w:spacing w:after="60" w:line="240" w:lineRule="auto"/>
              <w:ind w:left="155"/>
              <w:jc w:val="both"/>
              <w:rPr>
                <w:rFonts w:eastAsia="Times New Roman"/>
                <w:sz w:val="20"/>
                <w:szCs w:val="20"/>
                <w:lang w:eastAsia="en-GB" w:bidi="ne-NP"/>
              </w:rPr>
            </w:pPr>
          </w:p>
          <w:p w14:paraId="6A4A0F22" w14:textId="7150FBA8" w:rsidR="00A24872" w:rsidRPr="00E10694" w:rsidRDefault="00A24872" w:rsidP="00602692">
            <w:pPr>
              <w:spacing w:after="0" w:line="240" w:lineRule="auto"/>
              <w:ind w:left="155"/>
              <w:jc w:val="both"/>
              <w:rPr>
                <w:rFonts w:eastAsia="Times New Roman"/>
                <w:sz w:val="20"/>
                <w:szCs w:val="20"/>
                <w:lang w:eastAsia="en-GB" w:bidi="ne-NP"/>
              </w:rPr>
            </w:pPr>
            <w:r w:rsidRPr="00E10694">
              <w:rPr>
                <w:rFonts w:eastAsia="Times New Roman"/>
                <w:sz w:val="20"/>
                <w:szCs w:val="20"/>
                <w:lang w:eastAsia="en-GB" w:bidi="ne-NP"/>
              </w:rPr>
              <w:t>Sasniedzamie rezultāti pa starpposma nodevumu periodiem:</w:t>
            </w:r>
          </w:p>
          <w:p w14:paraId="2DE5BFFA" w14:textId="6DA77106" w:rsidR="00565D22" w:rsidRPr="00E10694" w:rsidRDefault="00565D22" w:rsidP="00602692">
            <w:pPr>
              <w:pStyle w:val="ListParagraph"/>
              <w:numPr>
                <w:ilvl w:val="0"/>
                <w:numId w:val="5"/>
              </w:numPr>
              <w:spacing w:after="0" w:line="240" w:lineRule="auto"/>
              <w:jc w:val="both"/>
              <w:rPr>
                <w:rFonts w:eastAsia="Times New Roman"/>
                <w:sz w:val="20"/>
                <w:szCs w:val="20"/>
                <w:lang w:eastAsia="en-GB" w:bidi="ne-NP"/>
              </w:rPr>
            </w:pPr>
            <w:r w:rsidRPr="00E10694">
              <w:rPr>
                <w:rFonts w:eastAsia="Times New Roman"/>
                <w:sz w:val="20"/>
                <w:szCs w:val="20"/>
                <w:lang w:eastAsia="en-GB" w:bidi="ne-NP"/>
              </w:rPr>
              <w:t>l</w:t>
            </w:r>
            <w:r w:rsidR="00A24872" w:rsidRPr="00E10694">
              <w:rPr>
                <w:rFonts w:eastAsia="Times New Roman"/>
                <w:sz w:val="20"/>
                <w:szCs w:val="20"/>
                <w:lang w:eastAsia="en-GB" w:bidi="ne-NP"/>
              </w:rPr>
              <w:t xml:space="preserve">aika periodā </w:t>
            </w:r>
            <w:r w:rsidR="000E3E01" w:rsidRPr="00E10694">
              <w:rPr>
                <w:rFonts w:eastAsia="Times New Roman"/>
                <w:sz w:val="20"/>
                <w:szCs w:val="20"/>
                <w:lang w:eastAsia="en-GB" w:bidi="ne-NP"/>
              </w:rPr>
              <w:t>no 202</w:t>
            </w:r>
            <w:r w:rsidR="00A53B1B" w:rsidRPr="00E10694">
              <w:rPr>
                <w:rFonts w:eastAsia="Times New Roman"/>
                <w:sz w:val="20"/>
                <w:szCs w:val="20"/>
                <w:lang w:eastAsia="en-GB" w:bidi="ne-NP"/>
              </w:rPr>
              <w:t>2</w:t>
            </w:r>
            <w:r w:rsidR="000E3E01" w:rsidRPr="00E10694">
              <w:rPr>
                <w:rFonts w:eastAsia="Times New Roman"/>
                <w:sz w:val="20"/>
                <w:szCs w:val="20"/>
                <w:lang w:eastAsia="en-GB" w:bidi="ne-NP"/>
              </w:rPr>
              <w:t xml:space="preserve">.gada </w:t>
            </w:r>
            <w:r w:rsidR="00A24872" w:rsidRPr="00E10694">
              <w:rPr>
                <w:rFonts w:eastAsia="Times New Roman"/>
                <w:sz w:val="20"/>
                <w:szCs w:val="20"/>
                <w:lang w:eastAsia="en-GB" w:bidi="ne-NP"/>
              </w:rPr>
              <w:t>līdz 2024.gada</w:t>
            </w:r>
            <w:r w:rsidR="000E3E01" w:rsidRPr="00E10694">
              <w:rPr>
                <w:rFonts w:eastAsia="Times New Roman"/>
                <w:sz w:val="20"/>
                <w:szCs w:val="20"/>
                <w:lang w:eastAsia="en-GB" w:bidi="ne-NP"/>
              </w:rPr>
              <w:t xml:space="preserve"> beigām</w:t>
            </w:r>
            <w:r w:rsidR="00A24872" w:rsidRPr="00E10694">
              <w:rPr>
                <w:rFonts w:eastAsia="Times New Roman"/>
                <w:sz w:val="20"/>
                <w:szCs w:val="20"/>
                <w:lang w:eastAsia="en-GB" w:bidi="ne-NP"/>
              </w:rPr>
              <w:t xml:space="preserve"> tiks īstenoti šādi pasākumi un sasniegti šādi rezultāti</w:t>
            </w:r>
            <w:r w:rsidR="007513FB" w:rsidRPr="00E10694">
              <w:rPr>
                <w:rFonts w:eastAsia="Times New Roman"/>
                <w:sz w:val="20"/>
                <w:szCs w:val="20"/>
                <w:lang w:eastAsia="en-GB" w:bidi="ne-NP"/>
              </w:rPr>
              <w:t xml:space="preserve"> par kopējo summu </w:t>
            </w:r>
            <w:r w:rsidR="00FD7226">
              <w:rPr>
                <w:rFonts w:eastAsia="Times New Roman"/>
                <w:sz w:val="20"/>
                <w:szCs w:val="20"/>
                <w:lang w:eastAsia="en-GB" w:bidi="ne-NP"/>
              </w:rPr>
              <w:t>741 921</w:t>
            </w:r>
            <w:r w:rsidR="00D64477" w:rsidRPr="00E10694">
              <w:rPr>
                <w:rFonts w:eastAsia="Times New Roman"/>
                <w:sz w:val="20"/>
                <w:szCs w:val="20"/>
                <w:lang w:eastAsia="en-GB" w:bidi="ne-NP"/>
              </w:rPr>
              <w:t xml:space="preserve"> </w:t>
            </w:r>
            <w:r w:rsidR="007513FB" w:rsidRPr="00E10694">
              <w:rPr>
                <w:rFonts w:eastAsia="Times New Roman"/>
                <w:sz w:val="20"/>
                <w:szCs w:val="20"/>
                <w:lang w:eastAsia="en-GB" w:bidi="ne-NP"/>
              </w:rPr>
              <w:t>EUR</w:t>
            </w:r>
            <w:r w:rsidRPr="00E10694">
              <w:rPr>
                <w:rFonts w:eastAsia="Times New Roman"/>
                <w:sz w:val="20"/>
                <w:szCs w:val="20"/>
                <w:lang w:eastAsia="en-GB" w:bidi="ne-NP"/>
              </w:rPr>
              <w:t>:</w:t>
            </w:r>
          </w:p>
          <w:p w14:paraId="251104A4" w14:textId="4538CF3E" w:rsidR="00FD7226" w:rsidRPr="00FD7226" w:rsidRDefault="00FD7226" w:rsidP="00997FD6">
            <w:pPr>
              <w:pStyle w:val="ListParagraph"/>
              <w:spacing w:after="0" w:line="240" w:lineRule="auto"/>
              <w:ind w:left="515"/>
              <w:jc w:val="both"/>
              <w:rPr>
                <w:rFonts w:eastAsia="Times New Roman"/>
                <w:sz w:val="20"/>
                <w:szCs w:val="20"/>
                <w:lang w:eastAsia="en-GB" w:bidi="ne-NP"/>
              </w:rPr>
            </w:pPr>
            <w:r>
              <w:rPr>
                <w:rFonts w:eastAsia="Times New Roman"/>
                <w:sz w:val="20"/>
                <w:szCs w:val="20"/>
                <w:lang w:eastAsia="en-GB" w:bidi="ne-NP"/>
              </w:rPr>
              <w:t xml:space="preserve">1.3. - </w:t>
            </w:r>
            <w:r w:rsidRPr="00E10694">
              <w:rPr>
                <w:rFonts w:eastAsia="Times New Roman"/>
                <w:sz w:val="20"/>
                <w:szCs w:val="20"/>
                <w:lang w:eastAsia="en-GB" w:bidi="ne-NP"/>
              </w:rPr>
              <w:t xml:space="preserve">noorganizētas 2 </w:t>
            </w:r>
            <w:proofErr w:type="spellStart"/>
            <w:r w:rsidRPr="00E10694">
              <w:rPr>
                <w:rFonts w:eastAsia="Times New Roman"/>
                <w:sz w:val="20"/>
                <w:szCs w:val="20"/>
                <w:lang w:eastAsia="en-GB" w:bidi="ne-NP"/>
              </w:rPr>
              <w:t>domnīcas</w:t>
            </w:r>
            <w:proofErr w:type="spellEnd"/>
            <w:r w:rsidRPr="00E10694">
              <w:rPr>
                <w:rFonts w:eastAsia="Times New Roman"/>
                <w:sz w:val="20"/>
                <w:szCs w:val="20"/>
                <w:lang w:eastAsia="en-GB" w:bidi="ne-NP"/>
              </w:rPr>
              <w:t xml:space="preserve"> (20 000 EUR);</w:t>
            </w:r>
          </w:p>
          <w:p w14:paraId="64099A7D" w14:textId="5DB287CF" w:rsidR="00565D22" w:rsidRPr="00E10694" w:rsidRDefault="00565D22" w:rsidP="00602692">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3.3. – izstrādātas vadlīnijas (</w:t>
            </w:r>
            <w:r w:rsidR="00D64477" w:rsidRPr="00E10694">
              <w:rPr>
                <w:rFonts w:eastAsia="Times New Roman"/>
                <w:sz w:val="20"/>
                <w:szCs w:val="20"/>
                <w:lang w:eastAsia="en-GB" w:bidi="ne-NP"/>
              </w:rPr>
              <w:t>21 641</w:t>
            </w:r>
            <w:r w:rsidRPr="00E10694">
              <w:rPr>
                <w:rFonts w:eastAsia="Times New Roman"/>
                <w:sz w:val="20"/>
                <w:szCs w:val="20"/>
                <w:lang w:eastAsia="en-GB" w:bidi="ne-NP"/>
              </w:rPr>
              <w:t xml:space="preserve"> EUR);</w:t>
            </w:r>
          </w:p>
          <w:p w14:paraId="4F46040A" w14:textId="2E925FDE" w:rsidR="00565D22" w:rsidRPr="00E10694" w:rsidRDefault="00565D22"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4.4. – apmācīti 4</w:t>
            </w:r>
            <w:r w:rsidR="00D64477" w:rsidRPr="00E10694">
              <w:rPr>
                <w:rFonts w:eastAsia="Times New Roman"/>
                <w:sz w:val="20"/>
                <w:szCs w:val="20"/>
                <w:lang w:eastAsia="en-GB" w:bidi="ne-NP"/>
              </w:rPr>
              <w:t>0</w:t>
            </w:r>
            <w:r w:rsidRPr="00E10694">
              <w:rPr>
                <w:rFonts w:eastAsia="Times New Roman"/>
                <w:sz w:val="20"/>
                <w:szCs w:val="20"/>
                <w:lang w:eastAsia="en-GB" w:bidi="ne-NP"/>
              </w:rPr>
              <w:t xml:space="preserve">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BB7A59" w:rsidRPr="00E10694">
              <w:rPr>
                <w:rFonts w:eastAsia="Times New Roman"/>
                <w:sz w:val="20"/>
                <w:szCs w:val="20"/>
                <w:lang w:eastAsia="en-GB" w:bidi="ne-NP"/>
              </w:rPr>
              <w:t xml:space="preserve"> </w:t>
            </w:r>
            <w:r w:rsidRPr="00E10694">
              <w:rPr>
                <w:rFonts w:eastAsia="Times New Roman"/>
                <w:sz w:val="20"/>
                <w:szCs w:val="20"/>
                <w:lang w:eastAsia="en-GB" w:bidi="ne-NP"/>
              </w:rPr>
              <w:t xml:space="preserve">7 </w:t>
            </w:r>
            <w:r w:rsidR="00D64477" w:rsidRPr="00E10694">
              <w:rPr>
                <w:rFonts w:eastAsia="Times New Roman"/>
                <w:sz w:val="20"/>
                <w:szCs w:val="20"/>
                <w:lang w:eastAsia="en-GB" w:bidi="ne-NP"/>
              </w:rPr>
              <w:t>460</w:t>
            </w:r>
            <w:r w:rsidRPr="00E10694">
              <w:rPr>
                <w:rFonts w:eastAsia="Times New Roman"/>
                <w:sz w:val="20"/>
                <w:szCs w:val="20"/>
                <w:lang w:eastAsia="en-GB" w:bidi="ne-NP"/>
              </w:rPr>
              <w:t xml:space="preserve"> EUR);</w:t>
            </w:r>
          </w:p>
          <w:p w14:paraId="31C8FC50" w14:textId="4074A5AF" w:rsidR="00565D22" w:rsidRPr="00E10694" w:rsidRDefault="00565D22"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4.5. – īstenoti 2 pasākumi (20 000 EUR);</w:t>
            </w:r>
          </w:p>
          <w:p w14:paraId="22ECDF71" w14:textId="194ACAE6" w:rsidR="00565D22" w:rsidRPr="00E10694" w:rsidRDefault="00565D22"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5.2. – noorganizēti 10 semināri (66</w:t>
            </w:r>
            <w:r w:rsidR="00162402" w:rsidRPr="00E10694">
              <w:rPr>
                <w:rFonts w:eastAsia="Times New Roman"/>
                <w:sz w:val="20"/>
                <w:szCs w:val="20"/>
                <w:lang w:eastAsia="en-GB" w:bidi="ne-NP"/>
              </w:rPr>
              <w:t> </w:t>
            </w:r>
            <w:r w:rsidR="00115110" w:rsidRPr="00E10694">
              <w:rPr>
                <w:rFonts w:eastAsia="Times New Roman"/>
                <w:sz w:val="20"/>
                <w:szCs w:val="20"/>
                <w:lang w:eastAsia="en-GB" w:bidi="ne-NP"/>
              </w:rPr>
              <w:t>67</w:t>
            </w:r>
            <w:r w:rsidRPr="00E10694">
              <w:rPr>
                <w:rFonts w:eastAsia="Times New Roman"/>
                <w:sz w:val="20"/>
                <w:szCs w:val="20"/>
                <w:lang w:eastAsia="en-GB" w:bidi="ne-NP"/>
              </w:rPr>
              <w:t>0</w:t>
            </w:r>
            <w:r w:rsidR="00162402" w:rsidRPr="00E10694">
              <w:rPr>
                <w:rFonts w:eastAsia="Times New Roman"/>
                <w:sz w:val="20"/>
                <w:szCs w:val="20"/>
                <w:lang w:eastAsia="en-GB" w:bidi="ne-NP"/>
              </w:rPr>
              <w:t xml:space="preserve"> EUR</w:t>
            </w:r>
            <w:r w:rsidRPr="00E10694">
              <w:rPr>
                <w:rFonts w:eastAsia="Times New Roman"/>
                <w:sz w:val="20"/>
                <w:szCs w:val="20"/>
                <w:lang w:eastAsia="en-GB" w:bidi="ne-NP"/>
              </w:rPr>
              <w:t>), veiktas 2 aptaujas (15 000 EUR);</w:t>
            </w:r>
          </w:p>
          <w:p w14:paraId="025E2438" w14:textId="3A37D4B0" w:rsidR="00CA1BF1" w:rsidRPr="00E10694" w:rsidRDefault="00CA1BF1"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6.2. </w:t>
            </w:r>
            <w:r w:rsidR="006660A9" w:rsidRPr="00E10694">
              <w:rPr>
                <w:rFonts w:eastAsia="Times New Roman"/>
                <w:sz w:val="20"/>
                <w:szCs w:val="20"/>
                <w:lang w:eastAsia="en-GB" w:bidi="ne-NP"/>
              </w:rPr>
              <w:t>–</w:t>
            </w:r>
            <w:r w:rsidRPr="00E10694">
              <w:rPr>
                <w:rFonts w:eastAsia="Times New Roman"/>
                <w:sz w:val="20"/>
                <w:szCs w:val="20"/>
                <w:lang w:eastAsia="en-GB" w:bidi="ne-NP"/>
              </w:rPr>
              <w:t xml:space="preserve"> izstrādāts projekta vadības prasmju standarts (30 000 EUR);</w:t>
            </w:r>
          </w:p>
          <w:p w14:paraId="61BB81A4" w14:textId="65569665" w:rsidR="00CA1BF1" w:rsidRPr="00E10694" w:rsidRDefault="00CA1BF1"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6.3. </w:t>
            </w:r>
            <w:r w:rsidR="006660A9" w:rsidRPr="00E10694">
              <w:rPr>
                <w:rFonts w:eastAsia="Times New Roman"/>
                <w:sz w:val="20"/>
                <w:szCs w:val="20"/>
                <w:lang w:eastAsia="en-GB" w:bidi="ne-NP"/>
              </w:rPr>
              <w:t>–</w:t>
            </w:r>
            <w:r w:rsidRPr="00E10694">
              <w:rPr>
                <w:rFonts w:eastAsia="Times New Roman"/>
                <w:sz w:val="20"/>
                <w:szCs w:val="20"/>
                <w:lang w:eastAsia="en-GB" w:bidi="ne-NP"/>
              </w:rPr>
              <w:t xml:space="preserve"> apmācīti 300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(55 950 EUR);</w:t>
            </w:r>
          </w:p>
          <w:p w14:paraId="5B6AD14B" w14:textId="45D48D6A" w:rsidR="00CA1BF1" w:rsidRPr="00E10694" w:rsidRDefault="00CA1BF1"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6.6. </w:t>
            </w:r>
            <w:r w:rsidR="006660A9" w:rsidRPr="00E10694">
              <w:rPr>
                <w:rFonts w:eastAsia="Times New Roman"/>
                <w:sz w:val="20"/>
                <w:szCs w:val="20"/>
                <w:lang w:eastAsia="en-GB" w:bidi="ne-NP"/>
              </w:rPr>
              <w:t>–</w:t>
            </w:r>
            <w:r w:rsidRPr="00E10694">
              <w:rPr>
                <w:rFonts w:eastAsia="Times New Roman"/>
                <w:sz w:val="20"/>
                <w:szCs w:val="20"/>
                <w:lang w:eastAsia="en-GB" w:bidi="ne-NP"/>
              </w:rPr>
              <w:t xml:space="preserve"> apmācīti 200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(37 350 EUR);</w:t>
            </w:r>
          </w:p>
          <w:p w14:paraId="234AD7E0" w14:textId="28E7661B" w:rsidR="00CA1BF1" w:rsidRPr="00E10694" w:rsidRDefault="00CA1BF1"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6.7. </w:t>
            </w:r>
            <w:r w:rsidR="006660A9" w:rsidRPr="00E10694">
              <w:rPr>
                <w:rFonts w:eastAsia="Times New Roman"/>
                <w:sz w:val="20"/>
                <w:szCs w:val="20"/>
                <w:lang w:eastAsia="en-GB" w:bidi="ne-NP"/>
              </w:rPr>
              <w:t>–</w:t>
            </w:r>
            <w:r w:rsidRPr="00E10694">
              <w:rPr>
                <w:rFonts w:eastAsia="Times New Roman"/>
                <w:sz w:val="20"/>
                <w:szCs w:val="20"/>
                <w:lang w:eastAsia="en-GB" w:bidi="ne-NP"/>
              </w:rPr>
              <w:t xml:space="preserve"> apmācīti 80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(40 000 EUR);</w:t>
            </w:r>
          </w:p>
          <w:p w14:paraId="0117ED20" w14:textId="5044D35A" w:rsidR="00CA1BF1" w:rsidRPr="00E10694" w:rsidRDefault="00CA1BF1"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7.1. </w:t>
            </w:r>
            <w:r w:rsidR="006660A9" w:rsidRPr="00E10694">
              <w:rPr>
                <w:rFonts w:eastAsia="Times New Roman"/>
                <w:sz w:val="20"/>
                <w:szCs w:val="20"/>
                <w:lang w:eastAsia="en-GB" w:bidi="ne-NP"/>
              </w:rPr>
              <w:t>–</w:t>
            </w:r>
            <w:r w:rsidRPr="00E10694">
              <w:rPr>
                <w:rFonts w:eastAsia="Times New Roman"/>
                <w:sz w:val="20"/>
                <w:szCs w:val="20"/>
                <w:lang w:eastAsia="en-GB" w:bidi="ne-NP"/>
              </w:rPr>
              <w:t xml:space="preserve"> apmācīti 160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(29 840 EUR);</w:t>
            </w:r>
          </w:p>
          <w:p w14:paraId="06A5DA80" w14:textId="22272156" w:rsidR="00CA1BF1" w:rsidRPr="00E10694" w:rsidRDefault="00CA1BF1"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7.2. </w:t>
            </w:r>
            <w:r w:rsidR="006660A9" w:rsidRPr="00E10694">
              <w:rPr>
                <w:rFonts w:eastAsia="Times New Roman"/>
                <w:sz w:val="20"/>
                <w:szCs w:val="20"/>
                <w:lang w:eastAsia="en-GB" w:bidi="ne-NP"/>
              </w:rPr>
              <w:t>–</w:t>
            </w:r>
            <w:r w:rsidRPr="00E10694">
              <w:rPr>
                <w:rFonts w:eastAsia="Times New Roman"/>
                <w:sz w:val="20"/>
                <w:szCs w:val="20"/>
                <w:lang w:eastAsia="en-GB" w:bidi="ne-NP"/>
              </w:rPr>
              <w:t xml:space="preserve"> izstrādāts 1 e-kurss (40 000 EUR), apmācīti 300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6660A9" w:rsidRPr="00E10694">
              <w:rPr>
                <w:rFonts w:eastAsia="Times New Roman"/>
                <w:sz w:val="20"/>
                <w:szCs w:val="20"/>
                <w:lang w:eastAsia="en-GB" w:bidi="ne-NP"/>
              </w:rPr>
              <w:t>55 950 EUR</w:t>
            </w:r>
            <w:r w:rsidRPr="00E10694">
              <w:rPr>
                <w:rFonts w:eastAsia="Times New Roman"/>
                <w:sz w:val="20"/>
                <w:szCs w:val="20"/>
                <w:lang w:eastAsia="en-GB" w:bidi="ne-NP"/>
              </w:rPr>
              <w:t>)</w:t>
            </w:r>
            <w:r w:rsidR="006660A9" w:rsidRPr="00E10694">
              <w:rPr>
                <w:rFonts w:eastAsia="Times New Roman"/>
                <w:sz w:val="20"/>
                <w:szCs w:val="20"/>
                <w:lang w:eastAsia="en-GB" w:bidi="ne-NP"/>
              </w:rPr>
              <w:t>;</w:t>
            </w:r>
          </w:p>
          <w:p w14:paraId="71343710" w14:textId="6052C890" w:rsidR="006660A9" w:rsidRPr="00E10694" w:rsidRDefault="006660A9"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7.3.a – izstrādāts 1 e-kurss (40 000 EUR);</w:t>
            </w:r>
          </w:p>
          <w:p w14:paraId="62E52403" w14:textId="5236A699" w:rsidR="006660A9" w:rsidRPr="00E10694" w:rsidRDefault="006660A9"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7.3.b – apmācīti 60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(11 190 EUR);</w:t>
            </w:r>
          </w:p>
          <w:p w14:paraId="379CD528" w14:textId="15A22AEE" w:rsidR="006660A9" w:rsidRPr="00E10694" w:rsidRDefault="00A4208E"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7.4. – apmācīti 80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(14 920 EUR);</w:t>
            </w:r>
          </w:p>
          <w:p w14:paraId="7E779479" w14:textId="37DB17FD" w:rsidR="00A4208E" w:rsidRPr="00E10694" w:rsidRDefault="00A4208E"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7.5.a – izstrādāts 1 e-kurss (40 000 EUR);</w:t>
            </w:r>
          </w:p>
          <w:p w14:paraId="6B34178E" w14:textId="346CD14B" w:rsidR="00A4208E" w:rsidRPr="00E10694" w:rsidRDefault="00A4208E"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7.5.b – apmācīti 100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(18 650 EUR);</w:t>
            </w:r>
          </w:p>
          <w:p w14:paraId="7A82EE20" w14:textId="4DA5F0E7" w:rsidR="00A4208E" w:rsidRPr="00E10694" w:rsidRDefault="00A4208E"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7.6. – apmācīti 100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(18 650 EUR);</w:t>
            </w:r>
          </w:p>
          <w:p w14:paraId="71875F21" w14:textId="7217B2C5" w:rsidR="00A4208E" w:rsidRPr="00E10694" w:rsidRDefault="00A4208E" w:rsidP="00A03B3B">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8.1. – apmācīti 200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(100 000 EUR);</w:t>
            </w:r>
          </w:p>
          <w:p w14:paraId="3C3CFE5F" w14:textId="3DDA26A0" w:rsidR="00A4208E" w:rsidRPr="00E10694" w:rsidRDefault="00A4208E" w:rsidP="00A03B3B">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11.1.a</w:t>
            </w:r>
            <w:r w:rsidR="00A03B3B" w:rsidRPr="00E10694">
              <w:rPr>
                <w:rFonts w:eastAsia="Times New Roman"/>
                <w:sz w:val="20"/>
                <w:szCs w:val="20"/>
                <w:lang w:eastAsia="en-GB" w:bidi="ne-NP"/>
              </w:rPr>
              <w:t xml:space="preserve"> – izstrādāts 1 e-kurss (40 000 EUR);</w:t>
            </w:r>
          </w:p>
          <w:p w14:paraId="750894B3" w14:textId="12321C24" w:rsidR="00A03B3B" w:rsidRPr="00E10694" w:rsidRDefault="00A03B3B" w:rsidP="00997FD6">
            <w:pPr>
              <w:pStyle w:val="ListParagraph"/>
              <w:spacing w:after="0" w:line="240" w:lineRule="auto"/>
              <w:ind w:left="515"/>
              <w:jc w:val="both"/>
              <w:rPr>
                <w:rFonts w:eastAsia="Times New Roman"/>
                <w:sz w:val="20"/>
                <w:szCs w:val="20"/>
                <w:lang w:eastAsia="en-GB" w:bidi="ne-NP"/>
              </w:rPr>
            </w:pPr>
            <w:r w:rsidRPr="00E10694">
              <w:rPr>
                <w:rFonts w:eastAsia="Times New Roman"/>
                <w:sz w:val="20"/>
                <w:szCs w:val="20"/>
                <w:lang w:eastAsia="en-GB" w:bidi="ne-NP"/>
              </w:rPr>
              <w:t xml:space="preserve">11.1.b - apmācīti 100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(18 650 EUR);</w:t>
            </w:r>
          </w:p>
          <w:p w14:paraId="0EC6CE43" w14:textId="42749CD2" w:rsidR="00A03B3B" w:rsidRPr="00E10694" w:rsidRDefault="00A03B3B" w:rsidP="007513FB">
            <w:pPr>
              <w:spacing w:after="0" w:line="240" w:lineRule="auto"/>
              <w:ind w:left="155" w:right="135"/>
              <w:jc w:val="both"/>
              <w:rPr>
                <w:rFonts w:eastAsia="Times New Roman"/>
                <w:sz w:val="20"/>
                <w:szCs w:val="20"/>
                <w:lang w:eastAsia="en-GB" w:bidi="ne-NP"/>
              </w:rPr>
            </w:pPr>
            <w:r w:rsidRPr="00E10694">
              <w:rPr>
                <w:rFonts w:eastAsia="Times New Roman"/>
                <w:sz w:val="20"/>
                <w:szCs w:val="20"/>
                <w:lang w:eastAsia="en-GB" w:bidi="ne-NP"/>
              </w:rPr>
              <w:t>2) laika periodā no 2025.gada līdz 2026.gada</w:t>
            </w:r>
            <w:r w:rsidR="000E3E01" w:rsidRPr="00E10694">
              <w:rPr>
                <w:rFonts w:eastAsia="Times New Roman"/>
                <w:sz w:val="20"/>
                <w:szCs w:val="20"/>
                <w:lang w:eastAsia="en-GB" w:bidi="ne-NP"/>
              </w:rPr>
              <w:t xml:space="preserve"> beigām</w:t>
            </w:r>
            <w:r w:rsidRPr="00E10694">
              <w:rPr>
                <w:rFonts w:eastAsia="Times New Roman"/>
                <w:sz w:val="20"/>
                <w:szCs w:val="20"/>
                <w:lang w:eastAsia="en-GB" w:bidi="ne-NP"/>
              </w:rPr>
              <w:t xml:space="preserve"> tiks īstenoti šādi pasākumi un sasniegti šādi rezultāti</w:t>
            </w:r>
            <w:r w:rsidR="007513FB" w:rsidRPr="00E10694">
              <w:rPr>
                <w:rFonts w:eastAsia="Times New Roman"/>
                <w:sz w:val="20"/>
                <w:szCs w:val="20"/>
                <w:lang w:eastAsia="en-GB" w:bidi="ne-NP"/>
              </w:rPr>
              <w:t xml:space="preserve"> par kopējo summu </w:t>
            </w:r>
            <w:r w:rsidR="00FD7226">
              <w:rPr>
                <w:rFonts w:eastAsia="Times New Roman"/>
                <w:sz w:val="20"/>
                <w:szCs w:val="20"/>
                <w:lang w:eastAsia="en-GB" w:bidi="ne-NP"/>
              </w:rPr>
              <w:t>781 153</w:t>
            </w:r>
            <w:r w:rsidR="00D64477" w:rsidRPr="00E10694">
              <w:rPr>
                <w:rFonts w:eastAsia="Times New Roman"/>
                <w:sz w:val="20"/>
                <w:szCs w:val="20"/>
                <w:lang w:eastAsia="en-GB" w:bidi="ne-NP"/>
              </w:rPr>
              <w:t xml:space="preserve"> </w:t>
            </w:r>
            <w:r w:rsidR="007513FB" w:rsidRPr="00E10694">
              <w:rPr>
                <w:rFonts w:eastAsia="Times New Roman"/>
                <w:sz w:val="20"/>
                <w:szCs w:val="20"/>
                <w:lang w:eastAsia="en-GB" w:bidi="ne-NP"/>
              </w:rPr>
              <w:t>EUR</w:t>
            </w:r>
            <w:r w:rsidRPr="00E10694">
              <w:rPr>
                <w:rFonts w:eastAsia="Times New Roman"/>
                <w:sz w:val="20"/>
                <w:szCs w:val="20"/>
                <w:lang w:eastAsia="en-GB" w:bidi="ne-NP"/>
              </w:rPr>
              <w:t>:</w:t>
            </w:r>
          </w:p>
          <w:p w14:paraId="144775A3" w14:textId="64B921E1" w:rsidR="00A03B3B" w:rsidRPr="00E10694" w:rsidRDefault="00A03B3B" w:rsidP="007513FB">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1.3. - noorganizēta </w:t>
            </w:r>
            <w:r w:rsidR="00FD7226">
              <w:rPr>
                <w:rFonts w:eastAsia="Times New Roman"/>
                <w:sz w:val="20"/>
                <w:szCs w:val="20"/>
                <w:lang w:eastAsia="en-GB" w:bidi="ne-NP"/>
              </w:rPr>
              <w:t>1</w:t>
            </w:r>
            <w:r w:rsidRPr="00E10694">
              <w:rPr>
                <w:rFonts w:eastAsia="Times New Roman"/>
                <w:sz w:val="20"/>
                <w:szCs w:val="20"/>
                <w:lang w:eastAsia="en-GB" w:bidi="ne-NP"/>
              </w:rPr>
              <w:t xml:space="preserve"> </w:t>
            </w:r>
            <w:proofErr w:type="spellStart"/>
            <w:r w:rsidRPr="00E10694">
              <w:rPr>
                <w:rFonts w:eastAsia="Times New Roman"/>
                <w:sz w:val="20"/>
                <w:szCs w:val="20"/>
                <w:lang w:eastAsia="en-GB" w:bidi="ne-NP"/>
              </w:rPr>
              <w:t>domnīca</w:t>
            </w:r>
            <w:proofErr w:type="spellEnd"/>
            <w:r w:rsidRPr="00E10694">
              <w:rPr>
                <w:rFonts w:eastAsia="Times New Roman"/>
                <w:sz w:val="20"/>
                <w:szCs w:val="20"/>
                <w:lang w:eastAsia="en-GB" w:bidi="ne-NP"/>
              </w:rPr>
              <w:t xml:space="preserve"> (</w:t>
            </w:r>
            <w:r w:rsidR="00FD7226">
              <w:rPr>
                <w:rFonts w:eastAsia="Times New Roman"/>
                <w:sz w:val="20"/>
                <w:szCs w:val="20"/>
                <w:lang w:eastAsia="en-GB" w:bidi="ne-NP"/>
              </w:rPr>
              <w:t>1</w:t>
            </w:r>
            <w:r w:rsidRPr="00E10694">
              <w:rPr>
                <w:rFonts w:eastAsia="Times New Roman"/>
                <w:sz w:val="20"/>
                <w:szCs w:val="20"/>
                <w:lang w:eastAsia="en-GB" w:bidi="ne-NP"/>
              </w:rPr>
              <w:t>0 000 EUR)</w:t>
            </w:r>
            <w:r w:rsidR="00FD7226">
              <w:rPr>
                <w:rFonts w:eastAsia="Times New Roman"/>
                <w:sz w:val="20"/>
                <w:szCs w:val="20"/>
                <w:lang w:eastAsia="en-GB" w:bidi="ne-NP"/>
              </w:rPr>
              <w:t xml:space="preserve">, </w:t>
            </w:r>
            <w:r w:rsidR="00FD7226" w:rsidRPr="00E10694">
              <w:rPr>
                <w:rFonts w:eastAsia="Times New Roman"/>
                <w:sz w:val="20"/>
                <w:szCs w:val="20"/>
                <w:lang w:eastAsia="en-GB" w:bidi="ne-NP"/>
              </w:rPr>
              <w:t xml:space="preserve">veikts 1 pētījums (50 000 EUR), izstrādāts Integritātes </w:t>
            </w:r>
            <w:proofErr w:type="spellStart"/>
            <w:r w:rsidR="00FD7226" w:rsidRPr="00E10694">
              <w:rPr>
                <w:rFonts w:eastAsia="Times New Roman"/>
                <w:sz w:val="20"/>
                <w:szCs w:val="20"/>
                <w:lang w:eastAsia="en-GB" w:bidi="ne-NP"/>
              </w:rPr>
              <w:t>paktu</w:t>
            </w:r>
            <w:proofErr w:type="spellEnd"/>
            <w:r w:rsidR="00FD7226" w:rsidRPr="00E10694">
              <w:rPr>
                <w:rFonts w:eastAsia="Times New Roman"/>
                <w:sz w:val="20"/>
                <w:szCs w:val="20"/>
                <w:lang w:eastAsia="en-GB" w:bidi="ne-NP"/>
              </w:rPr>
              <w:t xml:space="preserve"> ieviešanas standarts (80 000 EUR)</w:t>
            </w:r>
            <w:r w:rsidRPr="00E10694">
              <w:rPr>
                <w:rFonts w:eastAsia="Times New Roman"/>
                <w:sz w:val="20"/>
                <w:szCs w:val="20"/>
                <w:lang w:eastAsia="en-GB" w:bidi="ne-NP"/>
              </w:rPr>
              <w:t>;</w:t>
            </w:r>
          </w:p>
          <w:p w14:paraId="3B4C2A58" w14:textId="4D6E0011"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1.4. - apmācīti 80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(40 000 EUR)</w:t>
            </w:r>
          </w:p>
          <w:p w14:paraId="7BE38859" w14:textId="10056738"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3.3. – apmācīti 120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(22</w:t>
            </w:r>
            <w:r w:rsidR="00D64477" w:rsidRPr="00E10694">
              <w:rPr>
                <w:rFonts w:eastAsia="Times New Roman"/>
                <w:sz w:val="20"/>
                <w:szCs w:val="20"/>
                <w:lang w:eastAsia="en-GB" w:bidi="ne-NP"/>
              </w:rPr>
              <w:t> </w:t>
            </w:r>
            <w:r w:rsidR="00CD0811" w:rsidRPr="00E10694">
              <w:rPr>
                <w:rFonts w:eastAsia="Times New Roman"/>
                <w:sz w:val="20"/>
                <w:szCs w:val="20"/>
                <w:lang w:eastAsia="en-GB" w:bidi="ne-NP"/>
              </w:rPr>
              <w:t>380</w:t>
            </w:r>
            <w:r w:rsidR="00D64477" w:rsidRPr="00E10694">
              <w:rPr>
                <w:rFonts w:eastAsia="Times New Roman"/>
                <w:sz w:val="20"/>
                <w:szCs w:val="20"/>
                <w:lang w:eastAsia="en-GB" w:bidi="ne-NP"/>
              </w:rPr>
              <w:t xml:space="preserve"> </w:t>
            </w:r>
            <w:r w:rsidRPr="00E10694">
              <w:rPr>
                <w:rFonts w:eastAsia="Times New Roman"/>
                <w:sz w:val="20"/>
                <w:szCs w:val="20"/>
                <w:lang w:eastAsia="en-GB" w:bidi="ne-NP"/>
              </w:rPr>
              <w:t>EUR)</w:t>
            </w:r>
            <w:r w:rsidR="00D80075" w:rsidRPr="00E10694">
              <w:rPr>
                <w:rFonts w:eastAsia="Times New Roman"/>
                <w:sz w:val="20"/>
                <w:szCs w:val="20"/>
                <w:lang w:eastAsia="en-GB" w:bidi="ne-NP"/>
              </w:rPr>
              <w:t>;</w:t>
            </w:r>
          </w:p>
          <w:p w14:paraId="62F2BE62" w14:textId="3A55770E"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4.4. – apmācīti 55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D80075" w:rsidRPr="00E10694">
              <w:rPr>
                <w:rFonts w:eastAsia="Times New Roman"/>
                <w:sz w:val="20"/>
                <w:szCs w:val="20"/>
                <w:lang w:eastAsia="en-GB" w:bidi="ne-NP"/>
              </w:rPr>
              <w:t>10 25</w:t>
            </w:r>
            <w:r w:rsidR="00BA3C2B" w:rsidRPr="00E10694">
              <w:rPr>
                <w:rFonts w:eastAsia="Times New Roman"/>
                <w:sz w:val="20"/>
                <w:szCs w:val="20"/>
                <w:lang w:eastAsia="en-GB" w:bidi="ne-NP"/>
              </w:rPr>
              <w:t>8</w:t>
            </w:r>
            <w:r w:rsidR="00D80075" w:rsidRPr="00E10694">
              <w:rPr>
                <w:rFonts w:eastAsia="Times New Roman"/>
                <w:sz w:val="20"/>
                <w:szCs w:val="20"/>
                <w:lang w:eastAsia="en-GB" w:bidi="ne-NP"/>
              </w:rPr>
              <w:t xml:space="preserve"> EUR</w:t>
            </w:r>
            <w:r w:rsidRPr="00E10694">
              <w:rPr>
                <w:rFonts w:eastAsia="Times New Roman"/>
                <w:sz w:val="20"/>
                <w:szCs w:val="20"/>
                <w:lang w:eastAsia="en-GB" w:bidi="ne-NP"/>
              </w:rPr>
              <w:t>)</w:t>
            </w:r>
            <w:r w:rsidR="00D80075" w:rsidRPr="00E10694">
              <w:rPr>
                <w:rFonts w:eastAsia="Times New Roman"/>
                <w:sz w:val="20"/>
                <w:szCs w:val="20"/>
                <w:lang w:eastAsia="en-GB" w:bidi="ne-NP"/>
              </w:rPr>
              <w:t>;</w:t>
            </w:r>
          </w:p>
          <w:p w14:paraId="157E9FC7" w14:textId="7BC53843"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4.5. – īstenoti 2 pasākumi (20 000 EUR);</w:t>
            </w:r>
          </w:p>
          <w:p w14:paraId="1F72B30D" w14:textId="009D4143" w:rsidR="00162402"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5.2. – noorganizēti </w:t>
            </w:r>
            <w:r w:rsidR="00162402" w:rsidRPr="00E10694">
              <w:rPr>
                <w:rFonts w:eastAsia="Times New Roman"/>
                <w:sz w:val="20"/>
                <w:szCs w:val="20"/>
                <w:lang w:eastAsia="en-GB" w:bidi="ne-NP"/>
              </w:rPr>
              <w:t>5</w:t>
            </w:r>
            <w:r w:rsidRPr="00E10694">
              <w:rPr>
                <w:rFonts w:eastAsia="Times New Roman"/>
                <w:sz w:val="20"/>
                <w:szCs w:val="20"/>
                <w:lang w:eastAsia="en-GB" w:bidi="ne-NP"/>
              </w:rPr>
              <w:t xml:space="preserve"> semināri (</w:t>
            </w:r>
            <w:r w:rsidR="00162402" w:rsidRPr="00E10694">
              <w:rPr>
                <w:rFonts w:eastAsia="Times New Roman"/>
                <w:sz w:val="20"/>
                <w:szCs w:val="20"/>
                <w:lang w:eastAsia="en-GB" w:bidi="ne-NP"/>
              </w:rPr>
              <w:t>33 33</w:t>
            </w:r>
            <w:r w:rsidR="00115110" w:rsidRPr="00E10694">
              <w:rPr>
                <w:rFonts w:eastAsia="Times New Roman"/>
                <w:sz w:val="20"/>
                <w:szCs w:val="20"/>
                <w:lang w:eastAsia="en-GB" w:bidi="ne-NP"/>
              </w:rPr>
              <w:t>0</w:t>
            </w:r>
            <w:r w:rsidR="00162402" w:rsidRPr="00E10694">
              <w:rPr>
                <w:rFonts w:eastAsia="Times New Roman"/>
                <w:sz w:val="20"/>
                <w:szCs w:val="20"/>
                <w:lang w:eastAsia="en-GB" w:bidi="ne-NP"/>
              </w:rPr>
              <w:t xml:space="preserve"> EUR</w:t>
            </w:r>
            <w:r w:rsidRPr="00E10694">
              <w:rPr>
                <w:rFonts w:eastAsia="Times New Roman"/>
                <w:sz w:val="20"/>
                <w:szCs w:val="20"/>
                <w:lang w:eastAsia="en-GB" w:bidi="ne-NP"/>
              </w:rPr>
              <w:t xml:space="preserve">), veiktas </w:t>
            </w:r>
            <w:r w:rsidR="00162402" w:rsidRPr="00E10694">
              <w:rPr>
                <w:rFonts w:eastAsia="Times New Roman"/>
                <w:sz w:val="20"/>
                <w:szCs w:val="20"/>
                <w:lang w:eastAsia="en-GB" w:bidi="ne-NP"/>
              </w:rPr>
              <w:t>4</w:t>
            </w:r>
            <w:r w:rsidRPr="00E10694">
              <w:rPr>
                <w:rFonts w:eastAsia="Times New Roman"/>
                <w:sz w:val="20"/>
                <w:szCs w:val="20"/>
                <w:lang w:eastAsia="en-GB" w:bidi="ne-NP"/>
              </w:rPr>
              <w:t xml:space="preserve"> aptaujas (</w:t>
            </w:r>
            <w:r w:rsidR="00162402" w:rsidRPr="00E10694">
              <w:rPr>
                <w:rFonts w:eastAsia="Times New Roman"/>
                <w:sz w:val="20"/>
                <w:szCs w:val="20"/>
                <w:lang w:eastAsia="en-GB" w:bidi="ne-NP"/>
              </w:rPr>
              <w:t>30</w:t>
            </w:r>
            <w:r w:rsidRPr="00E10694">
              <w:rPr>
                <w:rFonts w:eastAsia="Times New Roman"/>
                <w:sz w:val="20"/>
                <w:szCs w:val="20"/>
                <w:lang w:eastAsia="en-GB" w:bidi="ne-NP"/>
              </w:rPr>
              <w:t xml:space="preserve"> 000 EUR);</w:t>
            </w:r>
          </w:p>
          <w:p w14:paraId="55443407" w14:textId="42D4F825" w:rsidR="00162402"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6.3. – apmācīti 3</w:t>
            </w:r>
            <w:r w:rsidR="00162402" w:rsidRPr="00E10694">
              <w:rPr>
                <w:rFonts w:eastAsia="Times New Roman"/>
                <w:sz w:val="20"/>
                <w:szCs w:val="20"/>
                <w:lang w:eastAsia="en-GB" w:bidi="ne-NP"/>
              </w:rPr>
              <w:t>5</w:t>
            </w:r>
            <w:r w:rsidRPr="00E10694">
              <w:rPr>
                <w:rFonts w:eastAsia="Times New Roman"/>
                <w:sz w:val="20"/>
                <w:szCs w:val="20"/>
                <w:lang w:eastAsia="en-GB" w:bidi="ne-NP"/>
              </w:rPr>
              <w:t xml:space="preserve">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162402" w:rsidRPr="00E10694">
              <w:rPr>
                <w:rFonts w:eastAsia="Times New Roman"/>
                <w:sz w:val="20"/>
                <w:szCs w:val="20"/>
                <w:lang w:eastAsia="en-GB" w:bidi="ne-NP"/>
              </w:rPr>
              <w:t>66 550</w:t>
            </w:r>
            <w:r w:rsidRPr="00E10694">
              <w:rPr>
                <w:rFonts w:eastAsia="Times New Roman"/>
                <w:sz w:val="20"/>
                <w:szCs w:val="20"/>
                <w:lang w:eastAsia="en-GB" w:bidi="ne-NP"/>
              </w:rPr>
              <w:t xml:space="preserve"> EUR);</w:t>
            </w:r>
          </w:p>
          <w:p w14:paraId="7B1E5BE5" w14:textId="65194719"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6.7. – apmācīti </w:t>
            </w:r>
            <w:r w:rsidR="00162402" w:rsidRPr="00E10694">
              <w:rPr>
                <w:rFonts w:eastAsia="Times New Roman"/>
                <w:sz w:val="20"/>
                <w:szCs w:val="20"/>
                <w:lang w:eastAsia="en-GB" w:bidi="ne-NP"/>
              </w:rPr>
              <w:t>4</w:t>
            </w:r>
            <w:r w:rsidRPr="00E10694">
              <w:rPr>
                <w:rFonts w:eastAsia="Times New Roman"/>
                <w:sz w:val="20"/>
                <w:szCs w:val="20"/>
                <w:lang w:eastAsia="en-GB" w:bidi="ne-NP"/>
              </w:rPr>
              <w:t xml:space="preserve">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162402" w:rsidRPr="00E10694">
              <w:rPr>
                <w:rFonts w:eastAsia="Times New Roman"/>
                <w:sz w:val="20"/>
                <w:szCs w:val="20"/>
                <w:lang w:eastAsia="en-GB" w:bidi="ne-NP"/>
              </w:rPr>
              <w:t>2</w:t>
            </w:r>
            <w:r w:rsidRPr="00E10694">
              <w:rPr>
                <w:rFonts w:eastAsia="Times New Roman"/>
                <w:sz w:val="20"/>
                <w:szCs w:val="20"/>
                <w:lang w:eastAsia="en-GB" w:bidi="ne-NP"/>
              </w:rPr>
              <w:t>0 000 EUR);</w:t>
            </w:r>
          </w:p>
          <w:p w14:paraId="56B85BAC" w14:textId="15C97575"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7.1. – apmācīti 160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(29 840 EUR);</w:t>
            </w:r>
          </w:p>
          <w:p w14:paraId="79A1BC82" w14:textId="6CABC824"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7.2. –</w:t>
            </w:r>
            <w:r w:rsidR="00162402" w:rsidRPr="00E10694">
              <w:rPr>
                <w:rFonts w:eastAsia="Times New Roman"/>
                <w:sz w:val="20"/>
                <w:szCs w:val="20"/>
                <w:lang w:eastAsia="en-GB" w:bidi="ne-NP"/>
              </w:rPr>
              <w:t xml:space="preserve"> </w:t>
            </w:r>
            <w:r w:rsidRPr="00E10694">
              <w:rPr>
                <w:rFonts w:eastAsia="Times New Roman"/>
                <w:sz w:val="20"/>
                <w:szCs w:val="20"/>
                <w:lang w:eastAsia="en-GB" w:bidi="ne-NP"/>
              </w:rPr>
              <w:t xml:space="preserve">apmācīti 300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(55 950 EUR);</w:t>
            </w:r>
          </w:p>
          <w:p w14:paraId="728D48F2" w14:textId="0871DEBC"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7.3.b – apmācīti </w:t>
            </w:r>
            <w:r w:rsidR="00162402" w:rsidRPr="00E10694">
              <w:rPr>
                <w:rFonts w:eastAsia="Times New Roman"/>
                <w:sz w:val="20"/>
                <w:szCs w:val="20"/>
                <w:lang w:eastAsia="en-GB" w:bidi="ne-NP"/>
              </w:rPr>
              <w:t>120</w:t>
            </w:r>
            <w:r w:rsidRPr="00E10694">
              <w:rPr>
                <w:rFonts w:eastAsia="Times New Roman"/>
                <w:sz w:val="20"/>
                <w:szCs w:val="20"/>
                <w:lang w:eastAsia="en-GB" w:bidi="ne-NP"/>
              </w:rPr>
              <w:t xml:space="preserve">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162402" w:rsidRPr="00E10694">
              <w:rPr>
                <w:rFonts w:eastAsia="Times New Roman"/>
                <w:sz w:val="20"/>
                <w:szCs w:val="20"/>
                <w:lang w:eastAsia="en-GB" w:bidi="ne-NP"/>
              </w:rPr>
              <w:t xml:space="preserve">22 </w:t>
            </w:r>
            <w:r w:rsidR="00D64477" w:rsidRPr="00E10694">
              <w:rPr>
                <w:rFonts w:eastAsia="Times New Roman"/>
                <w:sz w:val="20"/>
                <w:szCs w:val="20"/>
                <w:lang w:eastAsia="en-GB" w:bidi="ne-NP"/>
              </w:rPr>
              <w:t>380</w:t>
            </w:r>
            <w:r w:rsidRPr="00E10694">
              <w:rPr>
                <w:rFonts w:eastAsia="Times New Roman"/>
                <w:sz w:val="20"/>
                <w:szCs w:val="20"/>
                <w:lang w:eastAsia="en-GB" w:bidi="ne-NP"/>
              </w:rPr>
              <w:t xml:space="preserve"> EUR);</w:t>
            </w:r>
          </w:p>
          <w:p w14:paraId="313463A7" w14:textId="137A9297"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lastRenderedPageBreak/>
              <w:t xml:space="preserve">7.4. – apmācīti </w:t>
            </w:r>
            <w:r w:rsidR="00162402" w:rsidRPr="00E10694">
              <w:rPr>
                <w:rFonts w:eastAsia="Times New Roman"/>
                <w:sz w:val="20"/>
                <w:szCs w:val="20"/>
                <w:lang w:eastAsia="en-GB" w:bidi="ne-NP"/>
              </w:rPr>
              <w:t>160</w:t>
            </w:r>
            <w:r w:rsidRPr="00E10694">
              <w:rPr>
                <w:rFonts w:eastAsia="Times New Roman"/>
                <w:sz w:val="20"/>
                <w:szCs w:val="20"/>
                <w:lang w:eastAsia="en-GB" w:bidi="ne-NP"/>
              </w:rPr>
              <w:t xml:space="preserve">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162402" w:rsidRPr="00E10694">
              <w:rPr>
                <w:rFonts w:eastAsia="Times New Roman"/>
                <w:sz w:val="20"/>
                <w:szCs w:val="20"/>
                <w:lang w:eastAsia="en-GB" w:bidi="ne-NP"/>
              </w:rPr>
              <w:t>29 840</w:t>
            </w:r>
            <w:r w:rsidRPr="00E10694">
              <w:rPr>
                <w:rFonts w:eastAsia="Times New Roman"/>
                <w:sz w:val="20"/>
                <w:szCs w:val="20"/>
                <w:lang w:eastAsia="en-GB" w:bidi="ne-NP"/>
              </w:rPr>
              <w:t xml:space="preserve"> EUR);</w:t>
            </w:r>
          </w:p>
          <w:p w14:paraId="3F229886" w14:textId="6B8D7EA3"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7.5.b – apmācīti </w:t>
            </w:r>
            <w:r w:rsidR="00DF061A" w:rsidRPr="00E10694">
              <w:rPr>
                <w:rFonts w:eastAsia="Times New Roman"/>
                <w:sz w:val="20"/>
                <w:szCs w:val="20"/>
                <w:lang w:eastAsia="en-GB" w:bidi="ne-NP"/>
              </w:rPr>
              <w:t>2</w:t>
            </w:r>
            <w:r w:rsidRPr="00E10694">
              <w:rPr>
                <w:rFonts w:eastAsia="Times New Roman"/>
                <w:sz w:val="20"/>
                <w:szCs w:val="20"/>
                <w:lang w:eastAsia="en-GB" w:bidi="ne-NP"/>
              </w:rPr>
              <w:t xml:space="preserve">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DF061A" w:rsidRPr="00E10694">
              <w:rPr>
                <w:rFonts w:eastAsia="Times New Roman"/>
                <w:sz w:val="20"/>
                <w:szCs w:val="20"/>
                <w:lang w:eastAsia="en-GB" w:bidi="ne-NP"/>
              </w:rPr>
              <w:t>37 300</w:t>
            </w:r>
            <w:r w:rsidRPr="00E10694">
              <w:rPr>
                <w:rFonts w:eastAsia="Times New Roman"/>
                <w:sz w:val="20"/>
                <w:szCs w:val="20"/>
                <w:lang w:eastAsia="en-GB" w:bidi="ne-NP"/>
              </w:rPr>
              <w:t xml:space="preserve"> EUR);</w:t>
            </w:r>
          </w:p>
          <w:p w14:paraId="2D42350E" w14:textId="2E401B24"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7.6. – apmācīti </w:t>
            </w:r>
            <w:r w:rsidR="00DF061A" w:rsidRPr="00E10694">
              <w:rPr>
                <w:rFonts w:eastAsia="Times New Roman"/>
                <w:sz w:val="20"/>
                <w:szCs w:val="20"/>
                <w:lang w:eastAsia="en-GB" w:bidi="ne-NP"/>
              </w:rPr>
              <w:t>2</w:t>
            </w:r>
            <w:r w:rsidRPr="00E10694">
              <w:rPr>
                <w:rFonts w:eastAsia="Times New Roman"/>
                <w:sz w:val="20"/>
                <w:szCs w:val="20"/>
                <w:lang w:eastAsia="en-GB" w:bidi="ne-NP"/>
              </w:rPr>
              <w:t xml:space="preserve">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DF061A" w:rsidRPr="00E10694">
              <w:rPr>
                <w:rFonts w:eastAsia="Times New Roman"/>
                <w:sz w:val="20"/>
                <w:szCs w:val="20"/>
                <w:lang w:eastAsia="en-GB" w:bidi="ne-NP"/>
              </w:rPr>
              <w:t>37 300</w:t>
            </w:r>
            <w:r w:rsidRPr="00E10694">
              <w:rPr>
                <w:rFonts w:eastAsia="Times New Roman"/>
                <w:sz w:val="20"/>
                <w:szCs w:val="20"/>
                <w:lang w:eastAsia="en-GB" w:bidi="ne-NP"/>
              </w:rPr>
              <w:t xml:space="preserve"> EUR);</w:t>
            </w:r>
          </w:p>
          <w:p w14:paraId="5FFA34E6" w14:textId="0C7BBD0A"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8.1. – apmācīti 2</w:t>
            </w:r>
            <w:r w:rsidR="00DF061A" w:rsidRPr="00E10694">
              <w:rPr>
                <w:rFonts w:eastAsia="Times New Roman"/>
                <w:sz w:val="20"/>
                <w:szCs w:val="20"/>
                <w:lang w:eastAsia="en-GB" w:bidi="ne-NP"/>
              </w:rPr>
              <w:t>4</w:t>
            </w:r>
            <w:r w:rsidRPr="00E10694">
              <w:rPr>
                <w:rFonts w:eastAsia="Times New Roman"/>
                <w:sz w:val="20"/>
                <w:szCs w:val="20"/>
                <w:lang w:eastAsia="en-GB" w:bidi="ne-NP"/>
              </w:rPr>
              <w:t xml:space="preserve">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DF061A" w:rsidRPr="00E10694">
              <w:rPr>
                <w:rFonts w:eastAsia="Times New Roman"/>
                <w:sz w:val="20"/>
                <w:szCs w:val="20"/>
                <w:lang w:eastAsia="en-GB" w:bidi="ne-NP"/>
              </w:rPr>
              <w:t>120 000</w:t>
            </w:r>
            <w:r w:rsidRPr="00E10694">
              <w:rPr>
                <w:rFonts w:eastAsia="Times New Roman"/>
                <w:sz w:val="20"/>
                <w:szCs w:val="20"/>
                <w:lang w:eastAsia="en-GB" w:bidi="ne-NP"/>
              </w:rPr>
              <w:t xml:space="preserve"> EUR);</w:t>
            </w:r>
          </w:p>
          <w:p w14:paraId="58EC58C6" w14:textId="55F8AAB1" w:rsidR="00DF061A" w:rsidRPr="00E10694" w:rsidRDefault="00DF061A"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10.5. – uzlabota IUB tīmekļvietne ( 30 000 EUR);</w:t>
            </w:r>
          </w:p>
          <w:p w14:paraId="6342F5E1" w14:textId="340C0066" w:rsidR="00A03B3B" w:rsidRPr="00E10694" w:rsidRDefault="00A03B3B"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11.1.b - apmācīti </w:t>
            </w:r>
            <w:r w:rsidR="00DF061A" w:rsidRPr="00E10694">
              <w:rPr>
                <w:rFonts w:eastAsia="Times New Roman"/>
                <w:sz w:val="20"/>
                <w:szCs w:val="20"/>
                <w:lang w:eastAsia="en-GB" w:bidi="ne-NP"/>
              </w:rPr>
              <w:t>2</w:t>
            </w:r>
            <w:r w:rsidRPr="00E10694">
              <w:rPr>
                <w:rFonts w:eastAsia="Times New Roman"/>
                <w:sz w:val="20"/>
                <w:szCs w:val="20"/>
                <w:lang w:eastAsia="en-GB" w:bidi="ne-NP"/>
              </w:rPr>
              <w:t xml:space="preserve">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DF061A" w:rsidRPr="00E10694">
              <w:rPr>
                <w:rFonts w:eastAsia="Times New Roman"/>
                <w:sz w:val="20"/>
                <w:szCs w:val="20"/>
                <w:lang w:eastAsia="en-GB" w:bidi="ne-NP"/>
              </w:rPr>
              <w:t>37 3</w:t>
            </w:r>
            <w:r w:rsidR="00D64477" w:rsidRPr="00E10694">
              <w:rPr>
                <w:rFonts w:eastAsia="Times New Roman"/>
                <w:sz w:val="20"/>
                <w:szCs w:val="20"/>
                <w:lang w:eastAsia="en-GB" w:bidi="ne-NP"/>
              </w:rPr>
              <w:t>00</w:t>
            </w:r>
            <w:r w:rsidRPr="00E10694">
              <w:rPr>
                <w:rFonts w:eastAsia="Times New Roman"/>
                <w:sz w:val="20"/>
                <w:szCs w:val="20"/>
                <w:lang w:eastAsia="en-GB" w:bidi="ne-NP"/>
              </w:rPr>
              <w:t xml:space="preserve"> EUR);</w:t>
            </w:r>
          </w:p>
          <w:p w14:paraId="61F8B5C5" w14:textId="31ED85A3" w:rsidR="00DF061A" w:rsidRPr="00E10694" w:rsidRDefault="00DF061A" w:rsidP="00DF061A">
            <w:pPr>
              <w:spacing w:after="0" w:line="240" w:lineRule="auto"/>
              <w:ind w:left="155" w:right="135"/>
              <w:jc w:val="both"/>
              <w:rPr>
                <w:rFonts w:eastAsia="Times New Roman"/>
                <w:sz w:val="20"/>
                <w:szCs w:val="20"/>
                <w:lang w:eastAsia="en-GB" w:bidi="ne-NP"/>
              </w:rPr>
            </w:pPr>
            <w:r w:rsidRPr="00E10694">
              <w:rPr>
                <w:rFonts w:eastAsia="Times New Roman"/>
                <w:sz w:val="20"/>
                <w:szCs w:val="20"/>
                <w:lang w:eastAsia="en-GB" w:bidi="ne-NP"/>
              </w:rPr>
              <w:t>3) laika periodā no 2027.gada līdz 2028.gada</w:t>
            </w:r>
            <w:r w:rsidR="000E3E01" w:rsidRPr="00E10694">
              <w:rPr>
                <w:rFonts w:eastAsia="Times New Roman"/>
                <w:sz w:val="20"/>
                <w:szCs w:val="20"/>
                <w:lang w:eastAsia="en-GB" w:bidi="ne-NP"/>
              </w:rPr>
              <w:t xml:space="preserve"> beigām</w:t>
            </w:r>
            <w:r w:rsidRPr="00E10694">
              <w:rPr>
                <w:rFonts w:eastAsia="Times New Roman"/>
                <w:sz w:val="20"/>
                <w:szCs w:val="20"/>
                <w:lang w:eastAsia="en-GB" w:bidi="ne-NP"/>
              </w:rPr>
              <w:t xml:space="preserve"> tiks īstenoti šādi pasākumi un sasniegti šādi rezultāti</w:t>
            </w:r>
            <w:r w:rsidR="007513FB" w:rsidRPr="00E10694">
              <w:rPr>
                <w:rFonts w:eastAsia="Times New Roman"/>
                <w:sz w:val="20"/>
                <w:szCs w:val="20"/>
                <w:lang w:eastAsia="en-GB" w:bidi="ne-NP"/>
              </w:rPr>
              <w:t xml:space="preserve"> par kopējo summu </w:t>
            </w:r>
            <w:r w:rsidR="00FD7226">
              <w:rPr>
                <w:rFonts w:eastAsia="Times New Roman"/>
                <w:sz w:val="20"/>
                <w:szCs w:val="20"/>
                <w:lang w:eastAsia="en-GB" w:bidi="ne-NP"/>
              </w:rPr>
              <w:t>410 865</w:t>
            </w:r>
            <w:r w:rsidR="00D64477" w:rsidRPr="00E10694">
              <w:rPr>
                <w:rFonts w:eastAsia="Times New Roman"/>
                <w:sz w:val="20"/>
                <w:szCs w:val="20"/>
                <w:lang w:eastAsia="en-GB" w:bidi="ne-NP"/>
              </w:rPr>
              <w:t xml:space="preserve"> </w:t>
            </w:r>
            <w:r w:rsidR="007513FB" w:rsidRPr="00E10694">
              <w:rPr>
                <w:rFonts w:eastAsia="Times New Roman"/>
                <w:sz w:val="20"/>
                <w:szCs w:val="20"/>
                <w:lang w:eastAsia="en-GB" w:bidi="ne-NP"/>
              </w:rPr>
              <w:t>EUR:</w:t>
            </w:r>
          </w:p>
          <w:p w14:paraId="192DE9E5" w14:textId="43C5950F" w:rsidR="00DF061A" w:rsidRPr="00E10694" w:rsidRDefault="00DF061A"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1.3. - noorganizēta </w:t>
            </w:r>
            <w:r w:rsidR="00FD7226">
              <w:rPr>
                <w:rFonts w:eastAsia="Times New Roman"/>
                <w:sz w:val="20"/>
                <w:szCs w:val="20"/>
                <w:lang w:eastAsia="en-GB" w:bidi="ne-NP"/>
              </w:rPr>
              <w:t>1</w:t>
            </w:r>
            <w:r w:rsidRPr="00E10694">
              <w:rPr>
                <w:rFonts w:eastAsia="Times New Roman"/>
                <w:sz w:val="20"/>
                <w:szCs w:val="20"/>
                <w:lang w:eastAsia="en-GB" w:bidi="ne-NP"/>
              </w:rPr>
              <w:t xml:space="preserve"> </w:t>
            </w:r>
            <w:proofErr w:type="spellStart"/>
            <w:r w:rsidRPr="00E10694">
              <w:rPr>
                <w:rFonts w:eastAsia="Times New Roman"/>
                <w:sz w:val="20"/>
                <w:szCs w:val="20"/>
                <w:lang w:eastAsia="en-GB" w:bidi="ne-NP"/>
              </w:rPr>
              <w:t>domnīca</w:t>
            </w:r>
            <w:proofErr w:type="spellEnd"/>
            <w:r w:rsidRPr="00E10694">
              <w:rPr>
                <w:rFonts w:eastAsia="Times New Roman"/>
                <w:sz w:val="20"/>
                <w:szCs w:val="20"/>
                <w:lang w:eastAsia="en-GB" w:bidi="ne-NP"/>
              </w:rPr>
              <w:t xml:space="preserve"> (</w:t>
            </w:r>
            <w:r w:rsidR="00FD7226">
              <w:rPr>
                <w:rFonts w:eastAsia="Times New Roman"/>
                <w:sz w:val="20"/>
                <w:szCs w:val="20"/>
                <w:lang w:eastAsia="en-GB" w:bidi="ne-NP"/>
              </w:rPr>
              <w:t>1</w:t>
            </w:r>
            <w:r w:rsidRPr="00E10694">
              <w:rPr>
                <w:rFonts w:eastAsia="Times New Roman"/>
                <w:sz w:val="20"/>
                <w:szCs w:val="20"/>
                <w:lang w:eastAsia="en-GB" w:bidi="ne-NP"/>
              </w:rPr>
              <w:t>0 000 EUR), īstenota 1 informatīvā kampaņa (30 000 EUR);</w:t>
            </w:r>
          </w:p>
          <w:p w14:paraId="1172BC07" w14:textId="595E6532" w:rsidR="00DF061A" w:rsidRPr="00E10694" w:rsidRDefault="00DF061A"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1.4. - apmācīti 45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(22 500 EUR);</w:t>
            </w:r>
          </w:p>
          <w:p w14:paraId="27175A5A" w14:textId="0DF434AC" w:rsidR="00DF061A" w:rsidRPr="00E10694" w:rsidRDefault="00DF061A"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4.4. – apmācīti </w:t>
            </w:r>
            <w:r w:rsidR="00C72E73">
              <w:rPr>
                <w:rFonts w:eastAsia="Times New Roman"/>
                <w:sz w:val="20"/>
                <w:szCs w:val="20"/>
                <w:lang w:eastAsia="en-GB" w:bidi="ne-NP"/>
              </w:rPr>
              <w:t>50</w:t>
            </w:r>
            <w:r w:rsidRPr="00E10694">
              <w:rPr>
                <w:rFonts w:eastAsia="Times New Roman"/>
                <w:sz w:val="20"/>
                <w:szCs w:val="20"/>
                <w:lang w:eastAsia="en-GB" w:bidi="ne-NP"/>
              </w:rPr>
              <w:t xml:space="preserve">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D64477" w:rsidRPr="00E10694">
              <w:rPr>
                <w:rFonts w:eastAsia="Times New Roman"/>
                <w:sz w:val="20"/>
                <w:szCs w:val="20"/>
                <w:lang w:eastAsia="en-GB" w:bidi="ne-NP"/>
              </w:rPr>
              <w:t>9 325</w:t>
            </w:r>
            <w:r w:rsidRPr="00E10694">
              <w:rPr>
                <w:rFonts w:eastAsia="Times New Roman"/>
                <w:sz w:val="20"/>
                <w:szCs w:val="20"/>
                <w:lang w:eastAsia="en-GB" w:bidi="ne-NP"/>
              </w:rPr>
              <w:t xml:space="preserve"> EUR);</w:t>
            </w:r>
          </w:p>
          <w:p w14:paraId="45F1E5C4" w14:textId="56E66175" w:rsidR="00DF061A" w:rsidRPr="00E10694" w:rsidRDefault="00DF061A"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4.5. – īstenoti 2 pasākumi (20 000 EUR), </w:t>
            </w:r>
            <w:r w:rsidR="003B1564" w:rsidRPr="00E10694">
              <w:rPr>
                <w:rFonts w:eastAsia="Times New Roman"/>
                <w:sz w:val="20"/>
                <w:szCs w:val="20"/>
                <w:lang w:eastAsia="en-GB" w:bidi="ne-NP"/>
              </w:rPr>
              <w:t>1 noslēguma pasākums (20 000 EUR);</w:t>
            </w:r>
          </w:p>
          <w:p w14:paraId="688B33A0" w14:textId="5F35AFD3" w:rsidR="003B1564" w:rsidRPr="00E10694" w:rsidRDefault="003B1564" w:rsidP="00DF061A">
            <w:pPr>
              <w:spacing w:after="0" w:line="240" w:lineRule="auto"/>
              <w:ind w:left="580" w:right="135"/>
              <w:jc w:val="both"/>
              <w:rPr>
                <w:rFonts w:eastAsia="Times New Roman"/>
                <w:sz w:val="20"/>
                <w:szCs w:val="20"/>
                <w:lang w:eastAsia="en-GB" w:bidi="ne-NP"/>
              </w:rPr>
            </w:pPr>
            <w:r w:rsidRPr="00E10694">
              <w:rPr>
                <w:rFonts w:eastAsia="Times New Roman"/>
                <w:sz w:val="20"/>
                <w:szCs w:val="20"/>
                <w:lang w:eastAsia="en-GB" w:bidi="ne-NP"/>
              </w:rPr>
              <w:t xml:space="preserve">6.6. – apmācīti 100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(18 650 EUR);</w:t>
            </w:r>
          </w:p>
          <w:p w14:paraId="4678EA34" w14:textId="0CBDA0EB" w:rsidR="00DF061A" w:rsidRPr="00E10694" w:rsidRDefault="00DF061A" w:rsidP="00DF061A">
            <w:pPr>
              <w:spacing w:after="0" w:line="240" w:lineRule="auto"/>
              <w:ind w:left="580"/>
              <w:jc w:val="both"/>
              <w:rPr>
                <w:rFonts w:eastAsia="Times New Roman"/>
                <w:sz w:val="20"/>
                <w:szCs w:val="20"/>
                <w:lang w:eastAsia="en-GB" w:bidi="ne-NP"/>
              </w:rPr>
            </w:pPr>
            <w:r w:rsidRPr="00E10694">
              <w:rPr>
                <w:rFonts w:eastAsia="Times New Roman"/>
                <w:sz w:val="20"/>
                <w:szCs w:val="20"/>
                <w:lang w:eastAsia="en-GB" w:bidi="ne-NP"/>
              </w:rPr>
              <w:t xml:space="preserve">7.1. – apmācīti </w:t>
            </w:r>
            <w:r w:rsidR="0097050E" w:rsidRPr="00E10694">
              <w:rPr>
                <w:rFonts w:eastAsia="Times New Roman"/>
                <w:sz w:val="20"/>
                <w:szCs w:val="20"/>
                <w:lang w:eastAsia="en-GB" w:bidi="ne-NP"/>
              </w:rPr>
              <w:t>8</w:t>
            </w:r>
            <w:r w:rsidRPr="00E10694">
              <w:rPr>
                <w:rFonts w:eastAsia="Times New Roman"/>
                <w:sz w:val="20"/>
                <w:szCs w:val="20"/>
                <w:lang w:eastAsia="en-GB" w:bidi="ne-NP"/>
              </w:rPr>
              <w:t xml:space="preserve">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97050E" w:rsidRPr="00E10694">
              <w:rPr>
                <w:rFonts w:eastAsia="Times New Roman"/>
                <w:sz w:val="20"/>
                <w:szCs w:val="20"/>
                <w:lang w:eastAsia="en-GB" w:bidi="ne-NP"/>
              </w:rPr>
              <w:t>14 920</w:t>
            </w:r>
            <w:r w:rsidRPr="00E10694">
              <w:rPr>
                <w:rFonts w:eastAsia="Times New Roman"/>
                <w:sz w:val="20"/>
                <w:szCs w:val="20"/>
                <w:lang w:eastAsia="en-GB" w:bidi="ne-NP"/>
              </w:rPr>
              <w:t xml:space="preserve"> EUR);</w:t>
            </w:r>
          </w:p>
          <w:p w14:paraId="27BD9D24" w14:textId="7770E2B8" w:rsidR="00DF061A" w:rsidRPr="00E10694" w:rsidRDefault="00DF061A" w:rsidP="00DF061A">
            <w:pPr>
              <w:spacing w:after="0" w:line="240" w:lineRule="auto"/>
              <w:ind w:left="580"/>
              <w:jc w:val="both"/>
              <w:rPr>
                <w:rFonts w:eastAsia="Times New Roman"/>
                <w:sz w:val="20"/>
                <w:szCs w:val="20"/>
                <w:lang w:eastAsia="en-GB" w:bidi="ne-NP"/>
              </w:rPr>
            </w:pPr>
            <w:r w:rsidRPr="00E10694">
              <w:rPr>
                <w:rFonts w:eastAsia="Times New Roman"/>
                <w:sz w:val="20"/>
                <w:szCs w:val="20"/>
                <w:lang w:eastAsia="en-GB" w:bidi="ne-NP"/>
              </w:rPr>
              <w:t xml:space="preserve">7.2. – apmācīti </w:t>
            </w:r>
            <w:r w:rsidR="0097050E" w:rsidRPr="00E10694">
              <w:rPr>
                <w:rFonts w:eastAsia="Times New Roman"/>
                <w:sz w:val="20"/>
                <w:szCs w:val="20"/>
                <w:lang w:eastAsia="en-GB" w:bidi="ne-NP"/>
              </w:rPr>
              <w:t>1</w:t>
            </w:r>
            <w:r w:rsidRPr="00E10694">
              <w:rPr>
                <w:rFonts w:eastAsia="Times New Roman"/>
                <w:sz w:val="20"/>
                <w:szCs w:val="20"/>
                <w:lang w:eastAsia="en-GB" w:bidi="ne-NP"/>
              </w:rPr>
              <w:t xml:space="preserve">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w:t>
            </w:r>
            <w:r w:rsidR="0097050E" w:rsidRPr="00E10694">
              <w:rPr>
                <w:rFonts w:eastAsia="Times New Roman"/>
                <w:sz w:val="20"/>
                <w:szCs w:val="20"/>
                <w:lang w:eastAsia="en-GB" w:bidi="ne-NP"/>
              </w:rPr>
              <w:t>18 650</w:t>
            </w:r>
            <w:r w:rsidRPr="00E10694">
              <w:rPr>
                <w:rFonts w:eastAsia="Times New Roman"/>
                <w:sz w:val="20"/>
                <w:szCs w:val="20"/>
                <w:lang w:eastAsia="en-GB" w:bidi="ne-NP"/>
              </w:rPr>
              <w:t xml:space="preserve"> EUR);</w:t>
            </w:r>
          </w:p>
          <w:p w14:paraId="30423629" w14:textId="40B698E4" w:rsidR="00DF061A" w:rsidRPr="00E10694" w:rsidRDefault="00DF061A" w:rsidP="00DF061A">
            <w:pPr>
              <w:spacing w:after="0" w:line="240" w:lineRule="auto"/>
              <w:ind w:left="580"/>
              <w:jc w:val="both"/>
              <w:rPr>
                <w:rFonts w:eastAsia="Times New Roman"/>
                <w:sz w:val="20"/>
                <w:szCs w:val="20"/>
                <w:lang w:eastAsia="en-GB" w:bidi="ne-NP"/>
              </w:rPr>
            </w:pPr>
            <w:r w:rsidRPr="00E10694">
              <w:rPr>
                <w:rFonts w:eastAsia="Times New Roman"/>
                <w:sz w:val="20"/>
                <w:szCs w:val="20"/>
                <w:lang w:eastAsia="en-GB" w:bidi="ne-NP"/>
              </w:rPr>
              <w:t xml:space="preserve">7.3.b – apmācīti 120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(22 </w:t>
            </w:r>
            <w:r w:rsidR="00D64477" w:rsidRPr="00E10694">
              <w:rPr>
                <w:rFonts w:eastAsia="Times New Roman"/>
                <w:sz w:val="20"/>
                <w:szCs w:val="20"/>
                <w:lang w:eastAsia="en-GB" w:bidi="ne-NP"/>
              </w:rPr>
              <w:t>380</w:t>
            </w:r>
            <w:r w:rsidRPr="00E10694">
              <w:rPr>
                <w:rFonts w:eastAsia="Times New Roman"/>
                <w:sz w:val="20"/>
                <w:szCs w:val="20"/>
                <w:lang w:eastAsia="en-GB" w:bidi="ne-NP"/>
              </w:rPr>
              <w:t xml:space="preserve"> EUR);</w:t>
            </w:r>
          </w:p>
          <w:p w14:paraId="772492B1" w14:textId="381439F8" w:rsidR="00DF061A" w:rsidRPr="00E10694" w:rsidRDefault="00DF061A" w:rsidP="00DF061A">
            <w:pPr>
              <w:spacing w:after="0" w:line="240" w:lineRule="auto"/>
              <w:ind w:left="580"/>
              <w:jc w:val="both"/>
              <w:rPr>
                <w:rFonts w:eastAsia="Times New Roman"/>
                <w:sz w:val="20"/>
                <w:szCs w:val="20"/>
                <w:lang w:eastAsia="en-GB" w:bidi="ne-NP"/>
              </w:rPr>
            </w:pPr>
            <w:r w:rsidRPr="00E10694">
              <w:rPr>
                <w:rFonts w:eastAsia="Times New Roman"/>
                <w:sz w:val="20"/>
                <w:szCs w:val="20"/>
                <w:lang w:eastAsia="en-GB" w:bidi="ne-NP"/>
              </w:rPr>
              <w:t xml:space="preserve">7.4. – apmācīti 160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(29 840 EUR);</w:t>
            </w:r>
          </w:p>
          <w:p w14:paraId="511C7B4C" w14:textId="7B00C272" w:rsidR="00DF061A" w:rsidRPr="00E10694" w:rsidRDefault="00DF061A" w:rsidP="00DF061A">
            <w:pPr>
              <w:spacing w:after="0" w:line="240" w:lineRule="auto"/>
              <w:ind w:left="580"/>
              <w:jc w:val="both"/>
              <w:rPr>
                <w:rFonts w:eastAsia="Times New Roman"/>
                <w:sz w:val="20"/>
                <w:szCs w:val="20"/>
                <w:lang w:eastAsia="en-GB" w:bidi="ne-NP"/>
              </w:rPr>
            </w:pPr>
            <w:r w:rsidRPr="00E10694">
              <w:rPr>
                <w:rFonts w:eastAsia="Times New Roman"/>
                <w:sz w:val="20"/>
                <w:szCs w:val="20"/>
                <w:lang w:eastAsia="en-GB" w:bidi="ne-NP"/>
              </w:rPr>
              <w:t xml:space="preserve">7.5.b – apmācīti 200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(37 300 EUR);</w:t>
            </w:r>
          </w:p>
          <w:p w14:paraId="37F5B262" w14:textId="67308A12" w:rsidR="0097050E" w:rsidRPr="00E10694" w:rsidRDefault="00DF061A" w:rsidP="00DF061A">
            <w:pPr>
              <w:spacing w:after="0" w:line="240" w:lineRule="auto"/>
              <w:ind w:left="580"/>
              <w:jc w:val="both"/>
              <w:rPr>
                <w:rFonts w:eastAsia="Times New Roman"/>
                <w:sz w:val="20"/>
                <w:szCs w:val="20"/>
                <w:lang w:eastAsia="en-GB" w:bidi="ne-NP"/>
              </w:rPr>
            </w:pPr>
            <w:r w:rsidRPr="00E10694">
              <w:rPr>
                <w:rFonts w:eastAsia="Times New Roman"/>
                <w:sz w:val="20"/>
                <w:szCs w:val="20"/>
                <w:lang w:eastAsia="en-GB" w:bidi="ne-NP"/>
              </w:rPr>
              <w:t xml:space="preserve">7.6. – apmācīti 200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(37 300 EUR);</w:t>
            </w:r>
          </w:p>
          <w:p w14:paraId="6B9C1996" w14:textId="4C2DBBB7" w:rsidR="00DF061A" w:rsidRPr="00E10694" w:rsidRDefault="00DF061A" w:rsidP="0097050E">
            <w:pPr>
              <w:spacing w:after="0" w:line="240" w:lineRule="auto"/>
              <w:ind w:left="580"/>
              <w:jc w:val="both"/>
              <w:rPr>
                <w:rFonts w:eastAsia="Times New Roman"/>
                <w:sz w:val="20"/>
                <w:szCs w:val="20"/>
                <w:lang w:eastAsia="en-GB" w:bidi="ne-NP"/>
              </w:rPr>
            </w:pPr>
            <w:r w:rsidRPr="00E10694">
              <w:rPr>
                <w:rFonts w:eastAsia="Times New Roman"/>
                <w:sz w:val="20"/>
                <w:szCs w:val="20"/>
                <w:lang w:eastAsia="en-GB" w:bidi="ne-NP"/>
              </w:rPr>
              <w:t xml:space="preserve">8.1. – apmācīti 240 </w:t>
            </w:r>
            <w:proofErr w:type="spellStart"/>
            <w:r w:rsidRPr="00E10694">
              <w:rPr>
                <w:rFonts w:eastAsia="Times New Roman"/>
                <w:sz w:val="20"/>
                <w:szCs w:val="20"/>
                <w:lang w:eastAsia="en-GB" w:bidi="ne-NP"/>
              </w:rPr>
              <w:t>mērķgrupas</w:t>
            </w:r>
            <w:proofErr w:type="spellEnd"/>
            <w:r w:rsidRPr="00E10694">
              <w:rPr>
                <w:rFonts w:eastAsia="Times New Roman"/>
                <w:sz w:val="20"/>
                <w:szCs w:val="20"/>
                <w:lang w:eastAsia="en-GB" w:bidi="ne-NP"/>
              </w:rPr>
              <w:t xml:space="preserve"> dalībnieki (120 000 EUR)</w:t>
            </w:r>
            <w:r w:rsidR="0097050E" w:rsidRPr="00E10694">
              <w:rPr>
                <w:rFonts w:eastAsia="Times New Roman"/>
                <w:sz w:val="20"/>
                <w:szCs w:val="20"/>
                <w:lang w:eastAsia="en-GB" w:bidi="ne-NP"/>
              </w:rPr>
              <w:t>.</w:t>
            </w:r>
          </w:p>
          <w:p w14:paraId="679C9671" w14:textId="77777777" w:rsidR="00565D22" w:rsidRPr="00E10694" w:rsidRDefault="00565D22" w:rsidP="00565D22">
            <w:pPr>
              <w:pStyle w:val="ListParagraph"/>
              <w:spacing w:after="60" w:line="240" w:lineRule="auto"/>
              <w:ind w:left="515"/>
              <w:jc w:val="both"/>
              <w:rPr>
                <w:rFonts w:eastAsia="Times New Roman"/>
                <w:sz w:val="20"/>
                <w:szCs w:val="20"/>
                <w:lang w:eastAsia="en-GB" w:bidi="ne-NP"/>
              </w:rPr>
            </w:pPr>
          </w:p>
          <w:p w14:paraId="03EBED8A" w14:textId="443261B7" w:rsidR="002C4E25" w:rsidRPr="00E10694" w:rsidRDefault="00B96CCE" w:rsidP="00A24872">
            <w:pPr>
              <w:spacing w:after="60" w:line="240" w:lineRule="auto"/>
              <w:ind w:left="155" w:right="141"/>
              <w:jc w:val="both"/>
            </w:pPr>
            <w:r w:rsidRPr="00E10694">
              <w:rPr>
                <w:rFonts w:eastAsia="Times New Roman"/>
                <w:sz w:val="20"/>
                <w:szCs w:val="20"/>
                <w:lang w:eastAsia="en-GB" w:bidi="ne-NP"/>
              </w:rPr>
              <w:t xml:space="preserve">Visa informācija un dokumentācija saistībā ar pasākumu veikšanu (aktivitātes plāns, laiks, vieta, dokumentācija, kas apstiprina izpildīto rezultātu, iepirkuma dokumentācija) tiks apkopota un glabāta </w:t>
            </w:r>
            <w:r w:rsidR="00B156F7" w:rsidRPr="00E10694">
              <w:rPr>
                <w:rFonts w:eastAsia="Times New Roman"/>
                <w:sz w:val="20"/>
                <w:szCs w:val="20"/>
                <w:lang w:eastAsia="en-GB" w:bidi="ne-NP"/>
              </w:rPr>
              <w:t>Kohēzijas politikas fondu vadības informācijas sistēmā</w:t>
            </w:r>
            <w:r w:rsidR="004F5123" w:rsidRPr="00E10694">
              <w:rPr>
                <w:rFonts w:eastAsia="Times New Roman"/>
                <w:sz w:val="20"/>
                <w:szCs w:val="20"/>
                <w:lang w:eastAsia="en-GB" w:bidi="ne-NP"/>
              </w:rPr>
              <w:t>. In</w:t>
            </w:r>
            <w:r w:rsidR="0026632D" w:rsidRPr="00E10694">
              <w:rPr>
                <w:rFonts w:eastAsia="Times New Roman"/>
                <w:sz w:val="20"/>
                <w:szCs w:val="20"/>
                <w:lang w:eastAsia="en-GB" w:bidi="ne-NP"/>
              </w:rPr>
              <w:t>formāciju apkopos par konkrēto pasākumu atbildīgā iestāde, Valsts kanceleja pārbaudīs konkrētā starpposma nodevumu periodā sasniegtos rezultātus atbilstoši iepriekš uzskaitītajām verifikācijas metodēm</w:t>
            </w:r>
            <w:r w:rsidR="004F5123" w:rsidRPr="00E10694">
              <w:rPr>
                <w:rFonts w:eastAsia="Times New Roman"/>
                <w:sz w:val="20"/>
                <w:szCs w:val="20"/>
                <w:lang w:eastAsia="en-GB" w:bidi="ne-NP"/>
              </w:rPr>
              <w:t>, kā arī pārbaudēs uz vietas (iestādēs, kuras atbildīgas par konkrēto pasākumu ievieša</w:t>
            </w:r>
            <w:r w:rsidR="00F21E75" w:rsidRPr="00E10694">
              <w:rPr>
                <w:rFonts w:eastAsia="Times New Roman"/>
                <w:sz w:val="20"/>
                <w:szCs w:val="20"/>
                <w:lang w:eastAsia="en-GB" w:bidi="ne-NP"/>
              </w:rPr>
              <w:t>n</w:t>
            </w:r>
            <w:r w:rsidR="004F5123" w:rsidRPr="00E10694">
              <w:rPr>
                <w:rFonts w:eastAsia="Times New Roman"/>
                <w:sz w:val="20"/>
                <w:szCs w:val="20"/>
                <w:lang w:eastAsia="en-GB" w:bidi="ne-NP"/>
              </w:rPr>
              <w:t>u</w:t>
            </w:r>
            <w:r w:rsidR="0026632D" w:rsidRPr="00E10694">
              <w:rPr>
                <w:rFonts w:eastAsia="Times New Roman"/>
                <w:sz w:val="20"/>
                <w:szCs w:val="20"/>
                <w:lang w:eastAsia="en-GB" w:bidi="ne-NP"/>
              </w:rPr>
              <w:t xml:space="preserve">). </w:t>
            </w:r>
            <w:r w:rsidR="00894123" w:rsidRPr="00E10694">
              <w:rPr>
                <w:rFonts w:eastAsia="Times New Roman"/>
                <w:sz w:val="20"/>
                <w:szCs w:val="20"/>
                <w:lang w:eastAsia="en-GB" w:bidi="ne-NP"/>
              </w:rPr>
              <w:t>D</w:t>
            </w:r>
            <w:r w:rsidRPr="00E10694">
              <w:rPr>
                <w:rFonts w:eastAsia="Times New Roman"/>
                <w:sz w:val="20"/>
                <w:szCs w:val="20"/>
                <w:lang w:eastAsia="en-GB" w:bidi="ne-NP"/>
              </w:rPr>
              <w:t>okumentācija būs pieejama visiem uzraudzīb</w:t>
            </w:r>
            <w:r w:rsidR="003B0E64" w:rsidRPr="00E10694">
              <w:rPr>
                <w:rFonts w:eastAsia="Times New Roman"/>
                <w:sz w:val="20"/>
                <w:szCs w:val="20"/>
                <w:lang w:eastAsia="en-GB" w:bidi="ne-NP"/>
              </w:rPr>
              <w:t>ā</w:t>
            </w:r>
            <w:r w:rsidRPr="00E10694">
              <w:rPr>
                <w:rFonts w:eastAsia="Times New Roman"/>
                <w:sz w:val="20"/>
                <w:szCs w:val="20"/>
                <w:lang w:eastAsia="en-GB" w:bidi="ne-NP"/>
              </w:rPr>
              <w:t xml:space="preserve"> iesaistītajiem, t. sk. dažāda veida auditiem.</w:t>
            </w:r>
            <w:r w:rsidR="0085155D" w:rsidRPr="00E10694">
              <w:t xml:space="preserve"> </w:t>
            </w:r>
          </w:p>
          <w:p w14:paraId="18268527" w14:textId="77777777" w:rsidR="00907EE6" w:rsidRPr="00E10694" w:rsidRDefault="0026632D" w:rsidP="00F21E75">
            <w:pPr>
              <w:spacing w:after="60" w:line="240" w:lineRule="auto"/>
              <w:ind w:left="137" w:right="141"/>
              <w:jc w:val="both"/>
              <w:rPr>
                <w:rFonts w:eastAsia="Times New Roman"/>
                <w:sz w:val="20"/>
                <w:szCs w:val="20"/>
                <w:lang w:eastAsia="en-GB" w:bidi="ne-NP"/>
              </w:rPr>
            </w:pPr>
            <w:r w:rsidRPr="00E10694">
              <w:rPr>
                <w:rFonts w:eastAsia="Times New Roman"/>
                <w:sz w:val="20"/>
                <w:szCs w:val="20"/>
                <w:lang w:eastAsia="en-GB" w:bidi="ne-NP"/>
              </w:rPr>
              <w:t>Par rezultātu sasniegšanu, datu un dokumentācijas pieejamību</w:t>
            </w:r>
            <w:r w:rsidR="004F5123" w:rsidRPr="00E10694">
              <w:rPr>
                <w:rFonts w:eastAsia="Times New Roman"/>
                <w:sz w:val="20"/>
                <w:szCs w:val="20"/>
                <w:lang w:eastAsia="en-GB" w:bidi="ne-NP"/>
              </w:rPr>
              <w:t xml:space="preserve"> </w:t>
            </w:r>
            <w:r w:rsidRPr="00E10694">
              <w:rPr>
                <w:rFonts w:eastAsia="Times New Roman"/>
                <w:sz w:val="20"/>
                <w:szCs w:val="20"/>
                <w:lang w:eastAsia="en-GB" w:bidi="ne-NP"/>
              </w:rPr>
              <w:t xml:space="preserve">Kohēzijas politikas fondu vadības informācijas sistēmā atbildīga </w:t>
            </w:r>
            <w:r w:rsidR="00B96CCE" w:rsidRPr="00E10694">
              <w:rPr>
                <w:rFonts w:eastAsia="Times New Roman"/>
                <w:sz w:val="20"/>
                <w:szCs w:val="20"/>
                <w:lang w:eastAsia="en-GB" w:bidi="ne-NP"/>
              </w:rPr>
              <w:t>Valsts kanceleja</w:t>
            </w:r>
            <w:r w:rsidRPr="00E10694">
              <w:rPr>
                <w:rFonts w:eastAsia="Times New Roman"/>
                <w:sz w:val="20"/>
                <w:szCs w:val="20"/>
                <w:lang w:eastAsia="en-GB" w:bidi="ne-NP"/>
              </w:rPr>
              <w:t>.</w:t>
            </w:r>
            <w:r w:rsidR="00B96CCE" w:rsidRPr="00E10694">
              <w:rPr>
                <w:rFonts w:eastAsia="Times New Roman"/>
                <w:sz w:val="20"/>
                <w:szCs w:val="20"/>
                <w:lang w:eastAsia="en-GB" w:bidi="ne-NP"/>
              </w:rPr>
              <w:t xml:space="preserve"> </w:t>
            </w:r>
          </w:p>
          <w:p w14:paraId="0170A275" w14:textId="77777777" w:rsidR="00F21E75" w:rsidRPr="00E10694" w:rsidRDefault="00907EE6" w:rsidP="00F21E75">
            <w:pPr>
              <w:spacing w:after="60" w:line="240" w:lineRule="auto"/>
              <w:ind w:left="137" w:right="141"/>
              <w:jc w:val="both"/>
              <w:rPr>
                <w:rFonts w:eastAsia="Times New Roman"/>
                <w:sz w:val="20"/>
                <w:szCs w:val="20"/>
                <w:lang w:eastAsia="en-GB" w:bidi="ne-NP"/>
              </w:rPr>
            </w:pPr>
            <w:r w:rsidRPr="00E10694">
              <w:rPr>
                <w:rFonts w:eastAsia="Times New Roman"/>
                <w:sz w:val="20"/>
                <w:szCs w:val="20"/>
                <w:lang w:eastAsia="en-GB" w:bidi="ne-NP"/>
              </w:rPr>
              <w:t>Centrālā finanšu un līgumu aģentūra nodrošinās revīzijas izsekojamību tām darbībām, kuras ir tās pārraudzībā (maksājumu veikšana finansējuma saņēmējiem atbilstoši sasniegtajiem rezultātiem).</w:t>
            </w:r>
          </w:p>
          <w:p w14:paraId="43A0A970" w14:textId="1E651A93" w:rsidR="00F21E75" w:rsidRPr="00E10694" w:rsidRDefault="00907EE6" w:rsidP="00F21E75">
            <w:pPr>
              <w:spacing w:after="60" w:line="240" w:lineRule="auto"/>
              <w:ind w:left="137" w:right="141"/>
              <w:jc w:val="both"/>
              <w:rPr>
                <w:rFonts w:eastAsia="Times New Roman"/>
                <w:sz w:val="20"/>
                <w:szCs w:val="20"/>
                <w:lang w:eastAsia="en-GB" w:bidi="ne-NP"/>
              </w:rPr>
            </w:pPr>
            <w:r w:rsidRPr="00E10694">
              <w:rPr>
                <w:rFonts w:eastAsia="Times New Roman"/>
                <w:sz w:val="20"/>
                <w:szCs w:val="20"/>
                <w:lang w:eastAsia="en-GB" w:bidi="ne-NP"/>
              </w:rPr>
              <w:t xml:space="preserve">Iepirkumu uzraudzības birojs nodrošinās revīzijas izsekojamības nodrošināšanu par darbībām, kas atrodas tā pārraudzībā (izlases veida iepirkumu </w:t>
            </w:r>
            <w:proofErr w:type="spellStart"/>
            <w:r w:rsidRPr="00E10694">
              <w:rPr>
                <w:rFonts w:eastAsia="Times New Roman"/>
                <w:sz w:val="20"/>
                <w:szCs w:val="20"/>
                <w:lang w:eastAsia="en-GB" w:bidi="ne-NP"/>
              </w:rPr>
              <w:t>pirmspārbaudes</w:t>
            </w:r>
            <w:proofErr w:type="spellEnd"/>
            <w:r w:rsidR="00DE1A6E">
              <w:rPr>
                <w:rFonts w:eastAsia="Times New Roman"/>
                <w:sz w:val="20"/>
                <w:szCs w:val="20"/>
                <w:lang w:eastAsia="en-GB" w:bidi="ne-NP"/>
              </w:rPr>
              <w:t>, ja attiecināms</w:t>
            </w:r>
            <w:r w:rsidRPr="00E10694">
              <w:rPr>
                <w:rFonts w:eastAsia="Times New Roman"/>
                <w:sz w:val="20"/>
                <w:szCs w:val="20"/>
                <w:lang w:eastAsia="en-GB" w:bidi="ne-NP"/>
              </w:rPr>
              <w:t>).</w:t>
            </w:r>
          </w:p>
          <w:p w14:paraId="1AF105FE" w14:textId="5FEC57EE" w:rsidR="004F5123" w:rsidRPr="00E10694" w:rsidRDefault="00907EE6" w:rsidP="00F21E75">
            <w:pPr>
              <w:spacing w:after="60" w:line="240" w:lineRule="auto"/>
              <w:ind w:left="137" w:right="141"/>
              <w:jc w:val="both"/>
              <w:rPr>
                <w:rFonts w:eastAsia="Times New Roman"/>
                <w:sz w:val="20"/>
                <w:szCs w:val="20"/>
                <w:lang w:eastAsia="en-GB" w:bidi="ne-NP"/>
              </w:rPr>
            </w:pPr>
            <w:r w:rsidRPr="00E10694">
              <w:rPr>
                <w:rFonts w:eastAsia="Times New Roman"/>
                <w:sz w:val="20"/>
                <w:szCs w:val="20"/>
                <w:lang w:eastAsia="en-GB" w:bidi="ne-NP"/>
              </w:rPr>
              <w:t xml:space="preserve">Revīzijas iestāde </w:t>
            </w:r>
            <w:r w:rsidR="00C41325" w:rsidRPr="00E10694">
              <w:rPr>
                <w:rFonts w:eastAsia="Times New Roman"/>
                <w:sz w:val="20"/>
                <w:szCs w:val="20"/>
                <w:lang w:eastAsia="en-GB" w:bidi="ne-NP"/>
              </w:rPr>
              <w:t xml:space="preserve">var veikt </w:t>
            </w:r>
            <w:r w:rsidRPr="00E10694">
              <w:rPr>
                <w:rFonts w:eastAsia="Times New Roman"/>
                <w:sz w:val="20"/>
                <w:szCs w:val="20"/>
                <w:lang w:eastAsia="en-GB" w:bidi="ne-NP"/>
              </w:rPr>
              <w:t>darbību revīzijas izlases veida pārbaudes, kuru ietvaros var tikt pārbaudīti sasniegtie rezultāti</w:t>
            </w:r>
            <w:r w:rsidR="00C41325" w:rsidRPr="00E10694">
              <w:rPr>
                <w:rFonts w:eastAsia="Times New Roman"/>
                <w:sz w:val="20"/>
                <w:szCs w:val="20"/>
                <w:lang w:eastAsia="en-GB" w:bidi="ne-NP"/>
              </w:rPr>
              <w:t xml:space="preserve"> un datu ticamība</w:t>
            </w:r>
            <w:r w:rsidRPr="00E10694">
              <w:rPr>
                <w:rFonts w:eastAsia="Times New Roman"/>
                <w:sz w:val="20"/>
                <w:szCs w:val="20"/>
                <w:lang w:eastAsia="en-GB" w:bidi="ne-NP"/>
              </w:rPr>
              <w:t>.</w:t>
            </w:r>
            <w:r w:rsidR="00C41325" w:rsidRPr="00E10694">
              <w:rPr>
                <w:rFonts w:eastAsia="Times New Roman"/>
                <w:sz w:val="20"/>
                <w:szCs w:val="20"/>
                <w:lang w:eastAsia="en-GB" w:bidi="ne-NP"/>
              </w:rPr>
              <w:t xml:space="preserve"> </w:t>
            </w:r>
            <w:r w:rsidRPr="00E10694">
              <w:rPr>
                <w:rFonts w:eastAsia="Times New Roman"/>
                <w:sz w:val="20"/>
                <w:szCs w:val="20"/>
                <w:lang w:eastAsia="en-GB" w:bidi="ne-NP"/>
              </w:rPr>
              <w:t xml:space="preserve"> </w:t>
            </w:r>
          </w:p>
        </w:tc>
      </w:tr>
      <w:tr w:rsidR="00E10694" w:rsidRPr="00E10694" w14:paraId="73CF0CCF"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4727" w:type="pct"/>
              <w:tblCellMar>
                <w:left w:w="0" w:type="dxa"/>
                <w:right w:w="0" w:type="dxa"/>
              </w:tblCellMar>
              <w:tblLook w:val="04A0" w:firstRow="1" w:lastRow="0" w:firstColumn="1" w:lastColumn="0" w:noHBand="0" w:noVBand="1"/>
            </w:tblPr>
            <w:tblGrid>
              <w:gridCol w:w="250"/>
              <w:gridCol w:w="2140"/>
            </w:tblGrid>
            <w:tr w:rsidR="00E10694" w:rsidRPr="00E10694" w14:paraId="7CDA0C66" w14:textId="77777777" w:rsidTr="003B7DC3">
              <w:tc>
                <w:tcPr>
                  <w:tcW w:w="0" w:type="auto"/>
                  <w:shd w:val="clear" w:color="auto" w:fill="auto"/>
                  <w:hideMark/>
                </w:tcPr>
                <w:p w14:paraId="5AAAE234"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lastRenderedPageBreak/>
                    <w:t>11.</w:t>
                  </w:r>
                </w:p>
              </w:tc>
              <w:tc>
                <w:tcPr>
                  <w:tcW w:w="4477" w:type="pct"/>
                  <w:shd w:val="clear" w:color="auto" w:fill="auto"/>
                  <w:hideMark/>
                </w:tcPr>
                <w:p w14:paraId="68B4C04D"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Dotāciju, ko piešķir ar izmaksām nesaistīta finansējuma veidā, izmantošana</w:t>
                  </w:r>
                </w:p>
                <w:p w14:paraId="79423AE3"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Vai dotācija, ko dalībvalsts piešķir saņēmējiem, ir dotācija ar izmaksām nesaistīta finansējuma veidā? [JĀ/NĒ]</w:t>
                  </w:r>
                </w:p>
              </w:tc>
            </w:tr>
          </w:tbl>
          <w:p w14:paraId="541AA1A9" w14:textId="77777777" w:rsidR="00B96CCE" w:rsidRPr="00E10694" w:rsidRDefault="00B96CCE" w:rsidP="00B96CCE">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CB8ACEF" w14:textId="7BB3E2CA"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 </w:t>
            </w:r>
            <w:r w:rsidR="00806B58" w:rsidRPr="00E10694">
              <w:rPr>
                <w:rFonts w:eastAsia="Times New Roman"/>
                <w:sz w:val="20"/>
                <w:szCs w:val="20"/>
                <w:lang w:eastAsia="en-GB" w:bidi="ne-NP"/>
              </w:rPr>
              <w:t>JĀ</w:t>
            </w:r>
          </w:p>
        </w:tc>
      </w:tr>
      <w:tr w:rsidR="00E10694" w:rsidRPr="00E10694" w14:paraId="762307C9" w14:textId="77777777" w:rsidTr="003B7DC3">
        <w:tc>
          <w:tcPr>
            <w:tcW w:w="82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hideMark/>
          </w:tcPr>
          <w:tbl>
            <w:tblPr>
              <w:tblW w:w="5000" w:type="pct"/>
              <w:tblCellMar>
                <w:left w:w="0" w:type="dxa"/>
                <w:right w:w="0" w:type="dxa"/>
              </w:tblCellMar>
              <w:tblLook w:val="04A0" w:firstRow="1" w:lastRow="0" w:firstColumn="1" w:lastColumn="0" w:noHBand="0" w:noVBand="1"/>
            </w:tblPr>
            <w:tblGrid>
              <w:gridCol w:w="250"/>
              <w:gridCol w:w="2278"/>
            </w:tblGrid>
            <w:tr w:rsidR="00E10694" w:rsidRPr="00E10694" w14:paraId="1EC57114" w14:textId="77777777" w:rsidTr="0029696D">
              <w:tc>
                <w:tcPr>
                  <w:tcW w:w="0" w:type="auto"/>
                  <w:shd w:val="clear" w:color="auto" w:fill="auto"/>
                  <w:hideMark/>
                </w:tcPr>
                <w:p w14:paraId="692B660B"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lastRenderedPageBreak/>
                    <w:t>12.</w:t>
                  </w:r>
                </w:p>
              </w:tc>
              <w:tc>
                <w:tcPr>
                  <w:tcW w:w="0" w:type="auto"/>
                  <w:shd w:val="clear" w:color="auto" w:fill="auto"/>
                  <w:hideMark/>
                </w:tcPr>
                <w:p w14:paraId="40F6B626" w14:textId="77777777" w:rsidR="00B96CCE" w:rsidRPr="00E10694" w:rsidRDefault="00B96CCE" w:rsidP="00B96CCE">
                  <w:pPr>
                    <w:spacing w:after="0" w:line="240" w:lineRule="auto"/>
                    <w:jc w:val="both"/>
                    <w:rPr>
                      <w:rFonts w:eastAsia="Times New Roman"/>
                      <w:sz w:val="20"/>
                      <w:szCs w:val="20"/>
                      <w:lang w:eastAsia="en-GB" w:bidi="ne-NP"/>
                    </w:rPr>
                  </w:pPr>
                  <w:r w:rsidRPr="00E10694">
                    <w:rPr>
                      <w:rFonts w:eastAsia="Times New Roman"/>
                      <w:sz w:val="20"/>
                      <w:szCs w:val="20"/>
                      <w:lang w:eastAsia="en-GB" w:bidi="ne-NP"/>
                    </w:rPr>
                    <w:t>Kārtība, ar ko nodrošina revīzijas liecību</w:t>
                  </w:r>
                </w:p>
                <w:p w14:paraId="53B696D6" w14:textId="77777777" w:rsidR="00B96CCE" w:rsidRPr="00E10694" w:rsidRDefault="00B96CCE" w:rsidP="003B7DC3">
                  <w:pPr>
                    <w:spacing w:after="0" w:line="240" w:lineRule="auto"/>
                    <w:ind w:right="140"/>
                    <w:jc w:val="both"/>
                    <w:rPr>
                      <w:rFonts w:eastAsia="Times New Roman"/>
                      <w:sz w:val="20"/>
                      <w:szCs w:val="20"/>
                      <w:lang w:eastAsia="en-GB" w:bidi="ne-NP"/>
                    </w:rPr>
                  </w:pPr>
                  <w:r w:rsidRPr="00E10694">
                    <w:rPr>
                      <w:rFonts w:eastAsia="Times New Roman"/>
                      <w:sz w:val="20"/>
                      <w:szCs w:val="20"/>
                      <w:lang w:eastAsia="en-GB" w:bidi="ne-NP"/>
                    </w:rPr>
                    <w:t>Norādiet struktūru(-</w:t>
                  </w:r>
                  <w:proofErr w:type="spellStart"/>
                  <w:r w:rsidRPr="00E10694">
                    <w:rPr>
                      <w:rFonts w:eastAsia="Times New Roman"/>
                      <w:sz w:val="20"/>
                      <w:szCs w:val="20"/>
                      <w:lang w:eastAsia="en-GB" w:bidi="ne-NP"/>
                    </w:rPr>
                    <w:t>as</w:t>
                  </w:r>
                  <w:proofErr w:type="spellEnd"/>
                  <w:r w:rsidRPr="00E10694">
                    <w:rPr>
                      <w:rFonts w:eastAsia="Times New Roman"/>
                      <w:sz w:val="20"/>
                      <w:szCs w:val="20"/>
                      <w:lang w:eastAsia="en-GB" w:bidi="ne-NP"/>
                    </w:rPr>
                    <w:t>), kas ir atbildīga(-</w:t>
                  </w:r>
                  <w:proofErr w:type="spellStart"/>
                  <w:r w:rsidRPr="00E10694">
                    <w:rPr>
                      <w:rFonts w:eastAsia="Times New Roman"/>
                      <w:sz w:val="20"/>
                      <w:szCs w:val="20"/>
                      <w:lang w:eastAsia="en-GB" w:bidi="ne-NP"/>
                    </w:rPr>
                    <w:t>as</w:t>
                  </w:r>
                  <w:proofErr w:type="spellEnd"/>
                  <w:r w:rsidRPr="00E10694">
                    <w:rPr>
                      <w:rFonts w:eastAsia="Times New Roman"/>
                      <w:sz w:val="20"/>
                      <w:szCs w:val="20"/>
                      <w:lang w:eastAsia="en-GB" w:bidi="ne-NP"/>
                    </w:rPr>
                    <w:t>) par šīs kārtības īstenošanu.</w:t>
                  </w:r>
                </w:p>
              </w:tc>
            </w:tr>
          </w:tbl>
          <w:p w14:paraId="178FBDDF" w14:textId="77777777" w:rsidR="00B96CCE" w:rsidRPr="00E10694" w:rsidRDefault="00B96CCE" w:rsidP="00B96CCE">
            <w:pPr>
              <w:spacing w:after="0" w:line="240" w:lineRule="auto"/>
              <w:rPr>
                <w:rFonts w:eastAsia="Calibri"/>
                <w:sz w:val="20"/>
                <w:szCs w:val="20"/>
              </w:rPr>
            </w:pPr>
          </w:p>
        </w:tc>
        <w:tc>
          <w:tcPr>
            <w:tcW w:w="4177"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6B2AC6C" w14:textId="77777777" w:rsidR="00B96CCE" w:rsidRPr="00E10694" w:rsidRDefault="00B96CCE" w:rsidP="00D64477">
            <w:pPr>
              <w:spacing w:after="0" w:line="240" w:lineRule="auto"/>
              <w:ind w:left="203" w:right="212"/>
              <w:jc w:val="both"/>
              <w:rPr>
                <w:rFonts w:eastAsia="Times New Roman"/>
                <w:sz w:val="20"/>
                <w:szCs w:val="20"/>
                <w:lang w:eastAsia="en-GB" w:bidi="ne-NP"/>
              </w:rPr>
            </w:pPr>
            <w:r w:rsidRPr="00E10694">
              <w:rPr>
                <w:rFonts w:eastAsia="Times New Roman"/>
                <w:sz w:val="20"/>
                <w:szCs w:val="20"/>
                <w:lang w:eastAsia="en-GB" w:bidi="ne-NP"/>
              </w:rPr>
              <w:t>Valsts kanceleja un Valsts administrācijas skola, kas ir Valsts kancelejas pārraudzībā esošā iestāde, īsteno apmācību politiku valsts pārvaldes profesionālās pilnveides jomā, lai sagatavotu augsti kvalificētus un profesionālus darbiniekus, nodrošinās, to atbildībā esošo pasākumu un darbību izsekojamību.</w:t>
            </w:r>
          </w:p>
          <w:p w14:paraId="100B17CF" w14:textId="2A745406" w:rsidR="00CC5BCA" w:rsidRPr="00E10694" w:rsidRDefault="00CC5BCA" w:rsidP="00D64477">
            <w:pPr>
              <w:spacing w:after="0" w:line="240" w:lineRule="auto"/>
              <w:ind w:left="203" w:right="212"/>
              <w:jc w:val="both"/>
              <w:rPr>
                <w:rFonts w:eastAsia="Times New Roman"/>
                <w:sz w:val="20"/>
                <w:szCs w:val="20"/>
                <w:lang w:eastAsia="en-GB" w:bidi="ne-NP"/>
              </w:rPr>
            </w:pPr>
            <w:r w:rsidRPr="00E10694">
              <w:rPr>
                <w:rFonts w:eastAsia="Times New Roman"/>
                <w:sz w:val="20"/>
                <w:szCs w:val="20"/>
                <w:lang w:eastAsia="en-GB" w:bidi="ne-NP"/>
              </w:rPr>
              <w:t xml:space="preserve">Valsts kanceleja </w:t>
            </w:r>
            <w:r w:rsidR="00991D90" w:rsidRPr="00E10694">
              <w:rPr>
                <w:rFonts w:eastAsia="Times New Roman"/>
                <w:sz w:val="20"/>
                <w:szCs w:val="20"/>
                <w:lang w:eastAsia="en-GB" w:bidi="ne-NP"/>
              </w:rPr>
              <w:t>kopš 2007.gada ir veiksmīgi iesaistīta ES fondu administrēšanā un uzraudzībā un i</w:t>
            </w:r>
            <w:r w:rsidRPr="00E10694">
              <w:rPr>
                <w:rFonts w:eastAsia="Times New Roman"/>
                <w:sz w:val="20"/>
                <w:szCs w:val="20"/>
                <w:lang w:eastAsia="en-GB" w:bidi="ne-NP"/>
              </w:rPr>
              <w:t>r viena no ES fondu atbildīgajām iestādēm</w:t>
            </w:r>
            <w:r w:rsidR="00991D90" w:rsidRPr="00E10694">
              <w:rPr>
                <w:rFonts w:eastAsia="Times New Roman"/>
                <w:sz w:val="20"/>
                <w:szCs w:val="20"/>
                <w:lang w:eastAsia="en-GB" w:bidi="ne-NP"/>
              </w:rPr>
              <w:t xml:space="preserve">. </w:t>
            </w:r>
            <w:r w:rsidRPr="00E10694">
              <w:rPr>
                <w:rFonts w:eastAsia="Times New Roman"/>
                <w:sz w:val="20"/>
                <w:szCs w:val="20"/>
                <w:lang w:eastAsia="en-GB" w:bidi="ne-NP"/>
              </w:rPr>
              <w:t xml:space="preserve">Atbildīgās iestādes funkcijas Valsts kancelejā pilda ES struktūrfondu departaments. </w:t>
            </w:r>
            <w:r w:rsidR="00BA0D3E" w:rsidRPr="00E10694">
              <w:rPr>
                <w:rFonts w:eastAsia="Times New Roman"/>
                <w:sz w:val="20"/>
                <w:szCs w:val="20"/>
                <w:lang w:eastAsia="en-GB" w:bidi="ne-NP"/>
              </w:rPr>
              <w:t>Valsts kancelejas nolikumā ir noteiktas funkcijas, kas saistītas ar ārvalstu finanšu instrumentu pārvaldību</w:t>
            </w:r>
            <w:r w:rsidR="00991D90" w:rsidRPr="00E10694">
              <w:rPr>
                <w:rFonts w:eastAsia="Times New Roman"/>
                <w:sz w:val="20"/>
                <w:szCs w:val="20"/>
                <w:lang w:eastAsia="en-GB" w:bidi="ne-NP"/>
              </w:rPr>
              <w:t>, s</w:t>
            </w:r>
            <w:r w:rsidR="00BA0D3E" w:rsidRPr="00E10694">
              <w:rPr>
                <w:rFonts w:eastAsia="Times New Roman"/>
                <w:sz w:val="20"/>
                <w:szCs w:val="20"/>
                <w:lang w:eastAsia="en-GB" w:bidi="ne-NP"/>
              </w:rPr>
              <w:t>avukārt</w:t>
            </w:r>
            <w:r w:rsidR="00991D90" w:rsidRPr="00E10694">
              <w:rPr>
                <w:rFonts w:eastAsia="Times New Roman"/>
                <w:sz w:val="20"/>
                <w:szCs w:val="20"/>
                <w:lang w:eastAsia="en-GB" w:bidi="ne-NP"/>
              </w:rPr>
              <w:t xml:space="preserve">, </w:t>
            </w:r>
            <w:r w:rsidR="00BA0D3E" w:rsidRPr="00E10694">
              <w:rPr>
                <w:rFonts w:eastAsia="Times New Roman"/>
                <w:sz w:val="20"/>
                <w:szCs w:val="20"/>
                <w:lang w:eastAsia="en-GB" w:bidi="ne-NP"/>
              </w:rPr>
              <w:t>ES struktūrfondu departamenta uzdevumi ir noteikti Valsts kancelejas reglamentā, ta</w:t>
            </w:r>
            <w:r w:rsidR="00991D90" w:rsidRPr="00E10694">
              <w:rPr>
                <w:rFonts w:eastAsia="Times New Roman"/>
                <w:sz w:val="20"/>
                <w:szCs w:val="20"/>
                <w:lang w:eastAsia="en-GB" w:bidi="ne-NP"/>
              </w:rPr>
              <w:t xml:space="preserve">jā </w:t>
            </w:r>
            <w:r w:rsidR="00BA0D3E" w:rsidRPr="00E10694">
              <w:rPr>
                <w:rFonts w:eastAsia="Times New Roman"/>
                <w:sz w:val="20"/>
                <w:szCs w:val="20"/>
                <w:lang w:eastAsia="en-GB" w:bidi="ne-NP"/>
              </w:rPr>
              <w:t>skaitā uzdevums par ārvalstu finanšu instrumentu piesaisti un uzraudzību</w:t>
            </w:r>
            <w:r w:rsidR="005A7F1F" w:rsidRPr="00E10694">
              <w:rPr>
                <w:rFonts w:eastAsia="Times New Roman"/>
                <w:sz w:val="20"/>
                <w:szCs w:val="20"/>
                <w:lang w:eastAsia="en-GB" w:bidi="ne-NP"/>
              </w:rPr>
              <w:t>.</w:t>
            </w:r>
            <w:r w:rsidR="008D13DA" w:rsidRPr="00E10694">
              <w:rPr>
                <w:rFonts w:eastAsia="Times New Roman"/>
                <w:sz w:val="20"/>
                <w:szCs w:val="20"/>
                <w:lang w:eastAsia="en-GB" w:bidi="ne-NP"/>
              </w:rPr>
              <w:t xml:space="preserve"> </w:t>
            </w:r>
          </w:p>
          <w:p w14:paraId="675BB21F" w14:textId="5408DFA9" w:rsidR="005A7F1F" w:rsidRPr="00E10694" w:rsidRDefault="008D13DA" w:rsidP="00860DD2">
            <w:pPr>
              <w:spacing w:after="0" w:line="240" w:lineRule="auto"/>
              <w:ind w:left="203" w:right="212"/>
              <w:jc w:val="both"/>
              <w:rPr>
                <w:rFonts w:eastAsia="Times New Roman"/>
                <w:sz w:val="20"/>
                <w:szCs w:val="20"/>
                <w:lang w:eastAsia="en-GB" w:bidi="ne-NP"/>
              </w:rPr>
            </w:pPr>
            <w:r w:rsidRPr="00E10694">
              <w:rPr>
                <w:rFonts w:eastAsia="Times New Roman"/>
                <w:sz w:val="20"/>
                <w:szCs w:val="20"/>
                <w:lang w:eastAsia="en-GB" w:bidi="ne-NP"/>
              </w:rPr>
              <w:t>ES</w:t>
            </w:r>
            <w:r w:rsidR="005A7F1F" w:rsidRPr="00E10694">
              <w:rPr>
                <w:rFonts w:eastAsia="Times New Roman"/>
                <w:sz w:val="20"/>
                <w:szCs w:val="20"/>
                <w:lang w:eastAsia="en-GB" w:bidi="ne-NP"/>
              </w:rPr>
              <w:t xml:space="preserve"> struktūrfondu departamentam ir izstrādātas un akreditētas visas nepieciešamās procedūras ES fondu veiksmīgai uzraudzībai</w:t>
            </w:r>
            <w:r w:rsidR="00860DD2" w:rsidRPr="00E10694">
              <w:rPr>
                <w:rFonts w:eastAsia="Times New Roman"/>
                <w:sz w:val="20"/>
                <w:szCs w:val="20"/>
                <w:lang w:eastAsia="en-GB" w:bidi="ne-NP"/>
              </w:rPr>
              <w:t xml:space="preserve">, tajā skaitā </w:t>
            </w:r>
            <w:r w:rsidRPr="00E10694">
              <w:rPr>
                <w:rFonts w:eastAsia="Times New Roman"/>
                <w:sz w:val="20"/>
                <w:szCs w:val="20"/>
                <w:lang w:eastAsia="en-GB" w:bidi="ne-NP"/>
              </w:rPr>
              <w:t>k</w:t>
            </w:r>
            <w:r w:rsidR="00860DD2" w:rsidRPr="00E10694">
              <w:rPr>
                <w:rFonts w:eastAsia="Times New Roman"/>
                <w:sz w:val="20"/>
                <w:szCs w:val="20"/>
                <w:lang w:eastAsia="en-GB" w:bidi="ne-NP"/>
              </w:rPr>
              <w:t>ārtība, kādā atbildīgā iestāde nodrošina ar Eiropas Savienības fondu un citu finanšu instrumentu jautājumiem saistīto risku pārvaldību</w:t>
            </w:r>
            <w:r w:rsidR="006149A9" w:rsidRPr="00E10694">
              <w:rPr>
                <w:rFonts w:eastAsia="Times New Roman"/>
                <w:sz w:val="20"/>
                <w:szCs w:val="20"/>
                <w:lang w:eastAsia="en-GB" w:bidi="ne-NP"/>
              </w:rPr>
              <w:t>,</w:t>
            </w:r>
            <w:r w:rsidR="00860DD2" w:rsidRPr="00E10694">
              <w:rPr>
                <w:rFonts w:eastAsia="Times New Roman"/>
                <w:sz w:val="20"/>
                <w:szCs w:val="20"/>
                <w:lang w:eastAsia="en-GB" w:bidi="ne-NP"/>
              </w:rPr>
              <w:t xml:space="preserve"> </w:t>
            </w:r>
            <w:r w:rsidR="005A7F1F" w:rsidRPr="00E10694">
              <w:rPr>
                <w:rFonts w:eastAsia="Times New Roman"/>
                <w:sz w:val="20"/>
                <w:szCs w:val="20"/>
                <w:lang w:eastAsia="en-GB" w:bidi="ne-NP"/>
              </w:rPr>
              <w:t>Valsts kancelejas darba kārtības noteikumi</w:t>
            </w:r>
            <w:r w:rsidR="00860DD2" w:rsidRPr="00E10694">
              <w:rPr>
                <w:rFonts w:eastAsia="Times New Roman"/>
                <w:sz w:val="20"/>
                <w:szCs w:val="20"/>
                <w:lang w:eastAsia="en-GB" w:bidi="ne-NP"/>
              </w:rPr>
              <w:t xml:space="preserve">, kas </w:t>
            </w:r>
            <w:r w:rsidR="005A7F1F" w:rsidRPr="00E10694">
              <w:rPr>
                <w:rFonts w:eastAsia="Times New Roman"/>
                <w:sz w:val="20"/>
                <w:szCs w:val="20"/>
                <w:lang w:eastAsia="en-GB" w:bidi="ne-NP"/>
              </w:rPr>
              <w:t xml:space="preserve">ietver </w:t>
            </w:r>
            <w:r w:rsidR="00B47F66" w:rsidRPr="00E10694">
              <w:rPr>
                <w:rFonts w:eastAsia="Times New Roman"/>
                <w:sz w:val="20"/>
                <w:szCs w:val="20"/>
                <w:lang w:eastAsia="en-GB" w:bidi="ne-NP"/>
              </w:rPr>
              <w:t>n</w:t>
            </w:r>
            <w:r w:rsidR="005A7F1F" w:rsidRPr="00E10694">
              <w:rPr>
                <w:rFonts w:eastAsia="Times New Roman"/>
                <w:sz w:val="20"/>
                <w:szCs w:val="20"/>
                <w:lang w:eastAsia="en-GB" w:bidi="ne-NP"/>
              </w:rPr>
              <w:t xml:space="preserve">odaļu par </w:t>
            </w:r>
            <w:r w:rsidR="00B47F66" w:rsidRPr="00E10694">
              <w:rPr>
                <w:rFonts w:eastAsia="Times New Roman"/>
                <w:sz w:val="20"/>
                <w:szCs w:val="20"/>
                <w:lang w:eastAsia="en-GB" w:bidi="ne-NP"/>
              </w:rPr>
              <w:t>ē</w:t>
            </w:r>
            <w:r w:rsidR="005A7F1F" w:rsidRPr="00E10694">
              <w:rPr>
                <w:rFonts w:eastAsia="Times New Roman"/>
                <w:sz w:val="20"/>
                <w:szCs w:val="20"/>
                <w:lang w:eastAsia="en-GB" w:bidi="ne-NP"/>
              </w:rPr>
              <w:t>tikas pamatprincipiem interešu konfliktu novēršanā un komunikācijā ar lobētājiem</w:t>
            </w:r>
            <w:r w:rsidR="006149A9" w:rsidRPr="00E10694">
              <w:rPr>
                <w:rFonts w:eastAsia="Times New Roman"/>
                <w:sz w:val="20"/>
                <w:szCs w:val="20"/>
                <w:lang w:eastAsia="en-GB" w:bidi="ne-NP"/>
              </w:rPr>
              <w:t xml:space="preserve">, pretkorupcijas pasākumu plāns, </w:t>
            </w:r>
            <w:r w:rsidR="00672047" w:rsidRPr="00E10694">
              <w:rPr>
                <w:rFonts w:eastAsia="Times New Roman"/>
                <w:sz w:val="20"/>
                <w:szCs w:val="20"/>
                <w:lang w:eastAsia="en-GB" w:bidi="ne-NP"/>
              </w:rPr>
              <w:t>noteikta trauksmes celšanas kārtība.</w:t>
            </w:r>
            <w:r w:rsidRPr="00E10694">
              <w:rPr>
                <w:rFonts w:eastAsia="Times New Roman"/>
                <w:sz w:val="20"/>
                <w:szCs w:val="20"/>
                <w:lang w:eastAsia="en-GB" w:bidi="ne-NP"/>
              </w:rPr>
              <w:t xml:space="preserve"> Papildus </w:t>
            </w:r>
            <w:r w:rsidR="00722DA5" w:rsidRPr="00E10694">
              <w:rPr>
                <w:rFonts w:eastAsia="Times New Roman"/>
                <w:sz w:val="20"/>
                <w:szCs w:val="20"/>
                <w:lang w:eastAsia="en-GB" w:bidi="ne-NP"/>
              </w:rPr>
              <w:t xml:space="preserve">tam </w:t>
            </w:r>
            <w:r w:rsidRPr="00E10694">
              <w:rPr>
                <w:rFonts w:eastAsia="Times New Roman"/>
                <w:sz w:val="20"/>
                <w:szCs w:val="20"/>
                <w:lang w:eastAsia="en-GB" w:bidi="ne-NP"/>
              </w:rPr>
              <w:t>ir izdots rīkojums par funkciju nošķiršanu Valsts kancelejā starp projektu ieviešanu un uzraudzību</w:t>
            </w:r>
            <w:r w:rsidR="00722DA5" w:rsidRPr="00E10694">
              <w:rPr>
                <w:rFonts w:eastAsia="Times New Roman"/>
                <w:sz w:val="20"/>
                <w:szCs w:val="20"/>
                <w:lang w:eastAsia="en-GB" w:bidi="ne-NP"/>
              </w:rPr>
              <w:t>.</w:t>
            </w:r>
          </w:p>
          <w:p w14:paraId="7C8589B4" w14:textId="70A35D64" w:rsidR="005A7F1F" w:rsidRPr="00E10694" w:rsidRDefault="005A7F1F" w:rsidP="005A7F1F">
            <w:pPr>
              <w:spacing w:after="0" w:line="240" w:lineRule="auto"/>
              <w:ind w:left="203" w:right="212"/>
              <w:jc w:val="both"/>
              <w:rPr>
                <w:rFonts w:eastAsia="Times New Roman"/>
                <w:sz w:val="20"/>
                <w:szCs w:val="20"/>
                <w:lang w:eastAsia="en-GB" w:bidi="ne-NP"/>
              </w:rPr>
            </w:pPr>
          </w:p>
          <w:p w14:paraId="0B08E27A" w14:textId="2B390776" w:rsidR="005A7F1F" w:rsidRPr="00E10694" w:rsidRDefault="00991D90" w:rsidP="00B47F66">
            <w:pPr>
              <w:spacing w:after="0" w:line="240" w:lineRule="auto"/>
              <w:ind w:left="203" w:right="212"/>
              <w:jc w:val="both"/>
              <w:rPr>
                <w:rFonts w:eastAsia="Times New Roman"/>
                <w:sz w:val="20"/>
                <w:szCs w:val="20"/>
                <w:lang w:eastAsia="en-GB" w:bidi="ne-NP"/>
              </w:rPr>
            </w:pPr>
            <w:r w:rsidRPr="00E10694">
              <w:rPr>
                <w:rFonts w:eastAsia="Times New Roman"/>
                <w:sz w:val="20"/>
                <w:szCs w:val="20"/>
                <w:lang w:eastAsia="en-GB" w:bidi="ne-NP"/>
              </w:rPr>
              <w:t xml:space="preserve">Valsts administrācijas skolai ir vairāk kā 20 gadu pieredze dažādu veidu projektu īstenošanā, bet kopš 2015.gada Valsts administrācijas skola veiksmīgi īsteno Eiropas Sociālā fonda projektus, kuru kopējais finansējums pārsniedz 7 miljonus </w:t>
            </w:r>
            <w:proofErr w:type="spellStart"/>
            <w:r w:rsidRPr="00E10694">
              <w:rPr>
                <w:rFonts w:eastAsia="Times New Roman"/>
                <w:sz w:val="20"/>
                <w:szCs w:val="20"/>
                <w:lang w:eastAsia="en-GB" w:bidi="ne-NP"/>
              </w:rPr>
              <w:t>euro</w:t>
            </w:r>
            <w:proofErr w:type="spellEnd"/>
            <w:r w:rsidRPr="00E10694">
              <w:rPr>
                <w:rFonts w:eastAsia="Times New Roman"/>
                <w:sz w:val="20"/>
                <w:szCs w:val="20"/>
                <w:lang w:eastAsia="en-GB" w:bidi="ne-NP"/>
              </w:rPr>
              <w:t>. Valsts administrācijas skolai un atbilstoša pieredze, lai</w:t>
            </w:r>
            <w:r w:rsidR="000C5431" w:rsidRPr="00E10694">
              <w:rPr>
                <w:rFonts w:eastAsia="Times New Roman"/>
                <w:sz w:val="20"/>
                <w:szCs w:val="20"/>
                <w:lang w:eastAsia="en-GB" w:bidi="ne-NP"/>
              </w:rPr>
              <w:t xml:space="preserve"> pasākumus varētu </w:t>
            </w:r>
            <w:r w:rsidRPr="00E10694">
              <w:rPr>
                <w:rFonts w:eastAsia="Times New Roman"/>
                <w:sz w:val="20"/>
                <w:szCs w:val="20"/>
                <w:lang w:eastAsia="en-GB" w:bidi="ne-NP"/>
              </w:rPr>
              <w:t xml:space="preserve">ieviest augstā kvalitātē, sasniedzot noteiktos </w:t>
            </w:r>
            <w:r w:rsidR="00033DC5" w:rsidRPr="00E10694">
              <w:rPr>
                <w:rFonts w:eastAsia="Times New Roman"/>
                <w:sz w:val="20"/>
                <w:szCs w:val="20"/>
                <w:lang w:eastAsia="en-GB" w:bidi="ne-NP"/>
              </w:rPr>
              <w:t>rezultātus</w:t>
            </w:r>
            <w:r w:rsidR="00B91CB1" w:rsidRPr="00E10694">
              <w:rPr>
                <w:rFonts w:eastAsia="Times New Roman"/>
                <w:sz w:val="20"/>
                <w:szCs w:val="20"/>
                <w:lang w:eastAsia="en-GB" w:bidi="ne-NP"/>
              </w:rPr>
              <w:t xml:space="preserve">. </w:t>
            </w:r>
          </w:p>
          <w:p w14:paraId="781BDFA4" w14:textId="77777777" w:rsidR="00BA0D3E" w:rsidRPr="00E10694" w:rsidRDefault="00BA0D3E" w:rsidP="00D64477">
            <w:pPr>
              <w:spacing w:after="0" w:line="240" w:lineRule="auto"/>
              <w:ind w:left="203" w:right="212"/>
              <w:jc w:val="both"/>
              <w:rPr>
                <w:rFonts w:eastAsia="Times New Roman"/>
                <w:sz w:val="20"/>
                <w:szCs w:val="20"/>
                <w:lang w:eastAsia="en-GB" w:bidi="ne-NP"/>
              </w:rPr>
            </w:pPr>
          </w:p>
          <w:p w14:paraId="0073D0EF" w14:textId="7F3D9220" w:rsidR="00BA0D3E" w:rsidRPr="00E10694" w:rsidRDefault="00BA0D3E" w:rsidP="00D64477">
            <w:pPr>
              <w:spacing w:after="0" w:line="240" w:lineRule="auto"/>
              <w:ind w:left="203" w:right="212"/>
              <w:jc w:val="both"/>
              <w:rPr>
                <w:rFonts w:eastAsia="Times New Roman"/>
                <w:sz w:val="20"/>
                <w:szCs w:val="20"/>
                <w:lang w:eastAsia="en-GB" w:bidi="ne-NP"/>
              </w:rPr>
            </w:pPr>
          </w:p>
        </w:tc>
      </w:tr>
    </w:tbl>
    <w:p w14:paraId="08A2D869" w14:textId="0861F096" w:rsidR="003B7DC3" w:rsidRDefault="003B7DC3" w:rsidP="009F7D36">
      <w:pPr>
        <w:rPr>
          <w:rFonts w:eastAsia="Calibri"/>
          <w:sz w:val="20"/>
          <w:szCs w:val="20"/>
        </w:rPr>
      </w:pPr>
    </w:p>
    <w:tbl>
      <w:tblPr>
        <w:tblStyle w:val="TableGrid"/>
        <w:tblW w:w="0" w:type="auto"/>
        <w:tblLook w:val="04A0" w:firstRow="1" w:lastRow="0" w:firstColumn="1" w:lastColumn="0" w:noHBand="0" w:noVBand="1"/>
      </w:tblPr>
      <w:tblGrid>
        <w:gridCol w:w="5129"/>
        <w:gridCol w:w="5129"/>
        <w:gridCol w:w="5130"/>
      </w:tblGrid>
      <w:tr w:rsidR="000F2BC1" w:rsidRPr="00F47D61" w14:paraId="65DFF1DB" w14:textId="77777777" w:rsidTr="00812DB2">
        <w:tc>
          <w:tcPr>
            <w:tcW w:w="5129" w:type="dxa"/>
          </w:tcPr>
          <w:p w14:paraId="3762F779" w14:textId="77777777" w:rsidR="000F2BC1" w:rsidRPr="00F47D61" w:rsidRDefault="000F2BC1" w:rsidP="00812DB2">
            <w:pPr>
              <w:rPr>
                <w:rFonts w:eastAsia="Calibri"/>
                <w:sz w:val="18"/>
                <w:szCs w:val="18"/>
              </w:rPr>
            </w:pPr>
            <w:r w:rsidRPr="00F47D61">
              <w:rPr>
                <w:rFonts w:eastAsia="Calibri"/>
                <w:sz w:val="18"/>
                <w:szCs w:val="18"/>
              </w:rPr>
              <w:t xml:space="preserve">Pielikums Nr.1. </w:t>
            </w:r>
          </w:p>
          <w:p w14:paraId="6ABCA795" w14:textId="77777777" w:rsidR="000F2BC1" w:rsidRPr="00F47D61" w:rsidRDefault="000F2BC1" w:rsidP="00812DB2">
            <w:pPr>
              <w:rPr>
                <w:rFonts w:eastAsia="Calibri"/>
                <w:sz w:val="18"/>
                <w:szCs w:val="18"/>
              </w:rPr>
            </w:pPr>
            <w:r w:rsidRPr="00F47D61">
              <w:rPr>
                <w:rFonts w:eastAsia="Calibri"/>
                <w:sz w:val="18"/>
                <w:szCs w:val="18"/>
              </w:rPr>
              <w:object w:dxaOrig="1539" w:dyaOrig="994" w14:anchorId="5A25B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2pt" o:ole="">
                  <v:imagedata r:id="rId8" o:title=""/>
                </v:shape>
                <o:OLEObject Type="Embed" ProgID="Excel.Sheet.12" ShapeID="_x0000_i1025" DrawAspect="Icon" ObjectID="_1734420679" r:id="rId9"/>
              </w:object>
            </w:r>
          </w:p>
        </w:tc>
        <w:tc>
          <w:tcPr>
            <w:tcW w:w="5129" w:type="dxa"/>
          </w:tcPr>
          <w:p w14:paraId="6275FC08" w14:textId="77777777" w:rsidR="000F2BC1" w:rsidRPr="00F47D61" w:rsidRDefault="000F2BC1" w:rsidP="00812DB2">
            <w:pPr>
              <w:rPr>
                <w:sz w:val="18"/>
                <w:szCs w:val="18"/>
              </w:rPr>
            </w:pPr>
            <w:r w:rsidRPr="00F47D61">
              <w:rPr>
                <w:sz w:val="18"/>
                <w:szCs w:val="18"/>
              </w:rPr>
              <w:t>Pielikums Nr.2</w:t>
            </w:r>
          </w:p>
          <w:bookmarkStart w:id="1" w:name="_MON_1724738105"/>
          <w:bookmarkEnd w:id="1"/>
          <w:p w14:paraId="6352B73D" w14:textId="77777777" w:rsidR="000F2BC1" w:rsidRPr="00F47D61" w:rsidRDefault="000F2BC1" w:rsidP="00812DB2">
            <w:pPr>
              <w:rPr>
                <w:rFonts w:eastAsia="Calibri"/>
                <w:sz w:val="18"/>
                <w:szCs w:val="18"/>
              </w:rPr>
            </w:pPr>
            <w:r w:rsidRPr="00F47D61">
              <w:rPr>
                <w:sz w:val="18"/>
                <w:szCs w:val="18"/>
              </w:rPr>
              <w:object w:dxaOrig="1579" w:dyaOrig="1022" w14:anchorId="734AF736">
                <v:shape id="_x0000_i1026" type="#_x0000_t75" style="width:79.8pt;height:54pt" o:ole="">
                  <v:imagedata r:id="rId10" o:title=""/>
                </v:shape>
                <o:OLEObject Type="Embed" ProgID="Excel.Sheet.12" ShapeID="_x0000_i1026" DrawAspect="Icon" ObjectID="_1734420680" r:id="rId11"/>
              </w:object>
            </w:r>
          </w:p>
        </w:tc>
        <w:tc>
          <w:tcPr>
            <w:tcW w:w="5130" w:type="dxa"/>
          </w:tcPr>
          <w:p w14:paraId="774C946B" w14:textId="77777777" w:rsidR="000F2BC1" w:rsidRPr="00F47D61" w:rsidRDefault="000F2BC1" w:rsidP="00812DB2">
            <w:pPr>
              <w:rPr>
                <w:sz w:val="18"/>
                <w:szCs w:val="18"/>
              </w:rPr>
            </w:pPr>
            <w:r w:rsidRPr="00F47D61">
              <w:rPr>
                <w:sz w:val="18"/>
                <w:szCs w:val="18"/>
              </w:rPr>
              <w:t>Pielikums Nr.3</w:t>
            </w:r>
          </w:p>
          <w:bookmarkStart w:id="2" w:name="_MON_1724738128"/>
          <w:bookmarkEnd w:id="2"/>
          <w:p w14:paraId="4FE6D757" w14:textId="77777777" w:rsidR="000F2BC1" w:rsidRPr="00F47D61" w:rsidRDefault="000F2BC1" w:rsidP="00812DB2">
            <w:pPr>
              <w:rPr>
                <w:rFonts w:eastAsia="Calibri"/>
                <w:sz w:val="18"/>
                <w:szCs w:val="18"/>
              </w:rPr>
            </w:pPr>
            <w:r w:rsidRPr="00F47D61">
              <w:rPr>
                <w:sz w:val="18"/>
                <w:szCs w:val="18"/>
              </w:rPr>
              <w:object w:dxaOrig="1579" w:dyaOrig="1022" w14:anchorId="1DFABE4B">
                <v:shape id="_x0000_i1027" type="#_x0000_t75" style="width:79.8pt;height:54pt" o:ole="">
                  <v:imagedata r:id="rId12" o:title=""/>
                </v:shape>
                <o:OLEObject Type="Embed" ProgID="Excel.Sheet.12" ShapeID="_x0000_i1027" DrawAspect="Icon" ObjectID="_1734420681" r:id="rId13"/>
              </w:object>
            </w:r>
          </w:p>
        </w:tc>
      </w:tr>
    </w:tbl>
    <w:p w14:paraId="30575F05" w14:textId="77777777" w:rsidR="000F2BC1" w:rsidRPr="003B7DC3" w:rsidRDefault="000F2BC1" w:rsidP="009F7D36">
      <w:pPr>
        <w:rPr>
          <w:rFonts w:eastAsia="Calibri"/>
          <w:sz w:val="20"/>
          <w:szCs w:val="20"/>
        </w:rPr>
      </w:pPr>
    </w:p>
    <w:sectPr w:rsidR="000F2BC1" w:rsidRPr="003B7DC3" w:rsidSect="003B7DC3">
      <w:footerReference w:type="default" r:id="rId14"/>
      <w:pgSz w:w="16838" w:h="11906" w:orient="landscape"/>
      <w:pgMar w:top="720" w:right="720" w:bottom="284" w:left="720" w:header="51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CD27" w14:textId="77777777" w:rsidR="00C129D5" w:rsidRDefault="00C129D5" w:rsidP="003B7DC3">
      <w:pPr>
        <w:spacing w:after="0" w:line="240" w:lineRule="auto"/>
      </w:pPr>
      <w:r>
        <w:separator/>
      </w:r>
    </w:p>
  </w:endnote>
  <w:endnote w:type="continuationSeparator" w:id="0">
    <w:p w14:paraId="3B5C9E70" w14:textId="77777777" w:rsidR="00C129D5" w:rsidRDefault="00C129D5" w:rsidP="003B7DC3">
      <w:pPr>
        <w:spacing w:after="0" w:line="240" w:lineRule="auto"/>
      </w:pPr>
      <w:r>
        <w:continuationSeparator/>
      </w:r>
    </w:p>
  </w:endnote>
  <w:endnote w:type="continuationNotice" w:id="1">
    <w:p w14:paraId="18121435" w14:textId="77777777" w:rsidR="00C129D5" w:rsidRDefault="00C129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90030"/>
      <w:docPartObj>
        <w:docPartGallery w:val="Page Numbers (Bottom of Page)"/>
        <w:docPartUnique/>
      </w:docPartObj>
    </w:sdtPr>
    <w:sdtEndPr>
      <w:rPr>
        <w:noProof/>
      </w:rPr>
    </w:sdtEndPr>
    <w:sdtContent>
      <w:p w14:paraId="1F532CAE" w14:textId="338335A5" w:rsidR="003B7DC3" w:rsidRDefault="003B7DC3">
        <w:pPr>
          <w:pStyle w:val="Footer"/>
          <w:jc w:val="center"/>
        </w:pPr>
        <w:r>
          <w:fldChar w:fldCharType="begin"/>
        </w:r>
        <w:r>
          <w:instrText xml:space="preserve"> PAGE   \* MERGEFORMAT </w:instrText>
        </w:r>
        <w:r>
          <w:fldChar w:fldCharType="separate"/>
        </w:r>
        <w:r w:rsidR="000F2BC1">
          <w:rPr>
            <w:noProof/>
          </w:rPr>
          <w:t>9</w:t>
        </w:r>
        <w:r>
          <w:rPr>
            <w:noProof/>
          </w:rPr>
          <w:fldChar w:fldCharType="end"/>
        </w:r>
      </w:p>
    </w:sdtContent>
  </w:sdt>
  <w:p w14:paraId="2AC47E11" w14:textId="25BCFC2D" w:rsidR="003B7DC3" w:rsidRPr="003B7DC3" w:rsidRDefault="003B7DC3">
    <w:pPr>
      <w:pStyle w:val="Footer"/>
      <w:rPr>
        <w:sz w:val="20"/>
        <w:szCs w:val="20"/>
      </w:rPr>
    </w:pPr>
    <w:r w:rsidRPr="003B7DC3">
      <w:rPr>
        <w:sz w:val="20"/>
        <w:szCs w:val="20"/>
      </w:rPr>
      <w:t>FMProgPiel</w:t>
    </w:r>
    <w:r w:rsidR="00106446">
      <w:rPr>
        <w:sz w:val="20"/>
        <w:szCs w:val="20"/>
      </w:rPr>
      <w:t>10</w:t>
    </w:r>
    <w:r w:rsidR="009F7D36">
      <w:rPr>
        <w:sz w:val="20"/>
        <w:szCs w:val="20"/>
      </w:rPr>
      <w:t>_</w:t>
    </w:r>
    <w:r w:rsidR="00EF5119">
      <w:rPr>
        <w:sz w:val="20"/>
        <w:szCs w:val="20"/>
      </w:rPr>
      <w:t>31</w:t>
    </w:r>
    <w:r w:rsidR="009F7D36">
      <w:rPr>
        <w:sz w:val="20"/>
        <w:szCs w:val="20"/>
      </w:rPr>
      <w:t>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A9852" w14:textId="77777777" w:rsidR="00C129D5" w:rsidRDefault="00C129D5" w:rsidP="003B7DC3">
      <w:pPr>
        <w:spacing w:after="0" w:line="240" w:lineRule="auto"/>
      </w:pPr>
      <w:r>
        <w:separator/>
      </w:r>
    </w:p>
  </w:footnote>
  <w:footnote w:type="continuationSeparator" w:id="0">
    <w:p w14:paraId="0B130013" w14:textId="77777777" w:rsidR="00C129D5" w:rsidRDefault="00C129D5" w:rsidP="003B7DC3">
      <w:pPr>
        <w:spacing w:after="0" w:line="240" w:lineRule="auto"/>
      </w:pPr>
      <w:r>
        <w:continuationSeparator/>
      </w:r>
    </w:p>
  </w:footnote>
  <w:footnote w:type="continuationNotice" w:id="1">
    <w:p w14:paraId="5A78F4AA" w14:textId="77777777" w:rsidR="00C129D5" w:rsidRDefault="00C129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236"/>
    <w:multiLevelType w:val="hybridMultilevel"/>
    <w:tmpl w:val="23643464"/>
    <w:lvl w:ilvl="0" w:tplc="1C4CF3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E65443"/>
    <w:multiLevelType w:val="hybridMultilevel"/>
    <w:tmpl w:val="C50ACD0E"/>
    <w:lvl w:ilvl="0" w:tplc="FBD496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580BB1"/>
    <w:multiLevelType w:val="hybridMultilevel"/>
    <w:tmpl w:val="59BE437A"/>
    <w:lvl w:ilvl="0" w:tplc="40A8F0B8">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3" w15:restartNumberingAfterBreak="0">
    <w:nsid w:val="3F9C0AB8"/>
    <w:multiLevelType w:val="hybridMultilevel"/>
    <w:tmpl w:val="C09C9BC2"/>
    <w:lvl w:ilvl="0" w:tplc="5DCE19CA">
      <w:numFmt w:val="bullet"/>
      <w:lvlText w:val="-"/>
      <w:lvlJc w:val="left"/>
      <w:pPr>
        <w:ind w:left="923" w:hanging="360"/>
      </w:pPr>
      <w:rPr>
        <w:rFonts w:ascii="Times New Roman" w:eastAsiaTheme="minorHAnsi" w:hAnsi="Times New Roman" w:cs="Times New Roman" w:hint="default"/>
      </w:rPr>
    </w:lvl>
    <w:lvl w:ilvl="1" w:tplc="5DCE19CA">
      <w:numFmt w:val="bullet"/>
      <w:lvlText w:val="-"/>
      <w:lvlJc w:val="left"/>
      <w:pPr>
        <w:ind w:left="1643" w:hanging="360"/>
      </w:pPr>
      <w:rPr>
        <w:rFonts w:ascii="Times New Roman" w:eastAsiaTheme="minorHAnsi" w:hAnsi="Times New Roman" w:cs="Times New Roman" w:hint="default"/>
      </w:rPr>
    </w:lvl>
    <w:lvl w:ilvl="2" w:tplc="04260005" w:tentative="1">
      <w:start w:val="1"/>
      <w:numFmt w:val="bullet"/>
      <w:lvlText w:val=""/>
      <w:lvlJc w:val="left"/>
      <w:pPr>
        <w:ind w:left="2363" w:hanging="360"/>
      </w:pPr>
      <w:rPr>
        <w:rFonts w:ascii="Wingdings" w:hAnsi="Wingdings" w:hint="default"/>
      </w:rPr>
    </w:lvl>
    <w:lvl w:ilvl="3" w:tplc="04260001" w:tentative="1">
      <w:start w:val="1"/>
      <w:numFmt w:val="bullet"/>
      <w:lvlText w:val=""/>
      <w:lvlJc w:val="left"/>
      <w:pPr>
        <w:ind w:left="3083" w:hanging="360"/>
      </w:pPr>
      <w:rPr>
        <w:rFonts w:ascii="Symbol" w:hAnsi="Symbol" w:hint="default"/>
      </w:rPr>
    </w:lvl>
    <w:lvl w:ilvl="4" w:tplc="04260003" w:tentative="1">
      <w:start w:val="1"/>
      <w:numFmt w:val="bullet"/>
      <w:lvlText w:val="o"/>
      <w:lvlJc w:val="left"/>
      <w:pPr>
        <w:ind w:left="3803" w:hanging="360"/>
      </w:pPr>
      <w:rPr>
        <w:rFonts w:ascii="Courier New" w:hAnsi="Courier New" w:cs="Courier New" w:hint="default"/>
      </w:rPr>
    </w:lvl>
    <w:lvl w:ilvl="5" w:tplc="04260005" w:tentative="1">
      <w:start w:val="1"/>
      <w:numFmt w:val="bullet"/>
      <w:lvlText w:val=""/>
      <w:lvlJc w:val="left"/>
      <w:pPr>
        <w:ind w:left="4523" w:hanging="360"/>
      </w:pPr>
      <w:rPr>
        <w:rFonts w:ascii="Wingdings" w:hAnsi="Wingdings" w:hint="default"/>
      </w:rPr>
    </w:lvl>
    <w:lvl w:ilvl="6" w:tplc="04260001" w:tentative="1">
      <w:start w:val="1"/>
      <w:numFmt w:val="bullet"/>
      <w:lvlText w:val=""/>
      <w:lvlJc w:val="left"/>
      <w:pPr>
        <w:ind w:left="5243" w:hanging="360"/>
      </w:pPr>
      <w:rPr>
        <w:rFonts w:ascii="Symbol" w:hAnsi="Symbol" w:hint="default"/>
      </w:rPr>
    </w:lvl>
    <w:lvl w:ilvl="7" w:tplc="04260003" w:tentative="1">
      <w:start w:val="1"/>
      <w:numFmt w:val="bullet"/>
      <w:lvlText w:val="o"/>
      <w:lvlJc w:val="left"/>
      <w:pPr>
        <w:ind w:left="5963" w:hanging="360"/>
      </w:pPr>
      <w:rPr>
        <w:rFonts w:ascii="Courier New" w:hAnsi="Courier New" w:cs="Courier New" w:hint="default"/>
      </w:rPr>
    </w:lvl>
    <w:lvl w:ilvl="8" w:tplc="04260005" w:tentative="1">
      <w:start w:val="1"/>
      <w:numFmt w:val="bullet"/>
      <w:lvlText w:val=""/>
      <w:lvlJc w:val="left"/>
      <w:pPr>
        <w:ind w:left="6683" w:hanging="360"/>
      </w:pPr>
      <w:rPr>
        <w:rFonts w:ascii="Wingdings" w:hAnsi="Wingdings" w:hint="default"/>
      </w:rPr>
    </w:lvl>
  </w:abstractNum>
  <w:abstractNum w:abstractNumId="4" w15:restartNumberingAfterBreak="0">
    <w:nsid w:val="498C31C9"/>
    <w:multiLevelType w:val="hybridMultilevel"/>
    <w:tmpl w:val="02885A8A"/>
    <w:lvl w:ilvl="0" w:tplc="381298F8">
      <w:start w:val="1"/>
      <w:numFmt w:val="decimal"/>
      <w:lvlText w:val="%1)"/>
      <w:lvlJc w:val="left"/>
      <w:pPr>
        <w:ind w:left="503" w:hanging="360"/>
      </w:pPr>
      <w:rPr>
        <w:rFonts w:hint="default"/>
      </w:rPr>
    </w:lvl>
    <w:lvl w:ilvl="1" w:tplc="04260019" w:tentative="1">
      <w:start w:val="1"/>
      <w:numFmt w:val="lowerLetter"/>
      <w:lvlText w:val="%2."/>
      <w:lvlJc w:val="left"/>
      <w:pPr>
        <w:ind w:left="1223" w:hanging="360"/>
      </w:pPr>
    </w:lvl>
    <w:lvl w:ilvl="2" w:tplc="0426001B" w:tentative="1">
      <w:start w:val="1"/>
      <w:numFmt w:val="lowerRoman"/>
      <w:lvlText w:val="%3."/>
      <w:lvlJc w:val="right"/>
      <w:pPr>
        <w:ind w:left="1943" w:hanging="180"/>
      </w:pPr>
    </w:lvl>
    <w:lvl w:ilvl="3" w:tplc="0426000F" w:tentative="1">
      <w:start w:val="1"/>
      <w:numFmt w:val="decimal"/>
      <w:lvlText w:val="%4."/>
      <w:lvlJc w:val="left"/>
      <w:pPr>
        <w:ind w:left="2663" w:hanging="360"/>
      </w:pPr>
    </w:lvl>
    <w:lvl w:ilvl="4" w:tplc="04260019" w:tentative="1">
      <w:start w:val="1"/>
      <w:numFmt w:val="lowerLetter"/>
      <w:lvlText w:val="%5."/>
      <w:lvlJc w:val="left"/>
      <w:pPr>
        <w:ind w:left="3383" w:hanging="360"/>
      </w:pPr>
    </w:lvl>
    <w:lvl w:ilvl="5" w:tplc="0426001B" w:tentative="1">
      <w:start w:val="1"/>
      <w:numFmt w:val="lowerRoman"/>
      <w:lvlText w:val="%6."/>
      <w:lvlJc w:val="right"/>
      <w:pPr>
        <w:ind w:left="4103" w:hanging="180"/>
      </w:pPr>
    </w:lvl>
    <w:lvl w:ilvl="6" w:tplc="0426000F" w:tentative="1">
      <w:start w:val="1"/>
      <w:numFmt w:val="decimal"/>
      <w:lvlText w:val="%7."/>
      <w:lvlJc w:val="left"/>
      <w:pPr>
        <w:ind w:left="4823" w:hanging="360"/>
      </w:pPr>
    </w:lvl>
    <w:lvl w:ilvl="7" w:tplc="04260019" w:tentative="1">
      <w:start w:val="1"/>
      <w:numFmt w:val="lowerLetter"/>
      <w:lvlText w:val="%8."/>
      <w:lvlJc w:val="left"/>
      <w:pPr>
        <w:ind w:left="5543" w:hanging="360"/>
      </w:pPr>
    </w:lvl>
    <w:lvl w:ilvl="8" w:tplc="0426001B" w:tentative="1">
      <w:start w:val="1"/>
      <w:numFmt w:val="lowerRoman"/>
      <w:lvlText w:val="%9."/>
      <w:lvlJc w:val="right"/>
      <w:pPr>
        <w:ind w:left="6263" w:hanging="180"/>
      </w:pPr>
    </w:lvl>
  </w:abstractNum>
  <w:abstractNum w:abstractNumId="5" w15:restartNumberingAfterBreak="0">
    <w:nsid w:val="55072814"/>
    <w:multiLevelType w:val="hybridMultilevel"/>
    <w:tmpl w:val="CD4A1EE4"/>
    <w:lvl w:ilvl="0" w:tplc="40C65E80">
      <w:start w:val="1"/>
      <w:numFmt w:val="decimal"/>
      <w:lvlText w:val="%1)"/>
      <w:lvlJc w:val="left"/>
      <w:pPr>
        <w:ind w:left="503" w:hanging="360"/>
      </w:pPr>
      <w:rPr>
        <w:rFonts w:hint="default"/>
      </w:rPr>
    </w:lvl>
    <w:lvl w:ilvl="1" w:tplc="04260019" w:tentative="1">
      <w:start w:val="1"/>
      <w:numFmt w:val="lowerLetter"/>
      <w:lvlText w:val="%2."/>
      <w:lvlJc w:val="left"/>
      <w:pPr>
        <w:ind w:left="1223" w:hanging="360"/>
      </w:pPr>
    </w:lvl>
    <w:lvl w:ilvl="2" w:tplc="0426001B" w:tentative="1">
      <w:start w:val="1"/>
      <w:numFmt w:val="lowerRoman"/>
      <w:lvlText w:val="%3."/>
      <w:lvlJc w:val="right"/>
      <w:pPr>
        <w:ind w:left="1943" w:hanging="180"/>
      </w:pPr>
    </w:lvl>
    <w:lvl w:ilvl="3" w:tplc="0426000F" w:tentative="1">
      <w:start w:val="1"/>
      <w:numFmt w:val="decimal"/>
      <w:lvlText w:val="%4."/>
      <w:lvlJc w:val="left"/>
      <w:pPr>
        <w:ind w:left="2663" w:hanging="360"/>
      </w:pPr>
    </w:lvl>
    <w:lvl w:ilvl="4" w:tplc="04260019" w:tentative="1">
      <w:start w:val="1"/>
      <w:numFmt w:val="lowerLetter"/>
      <w:lvlText w:val="%5."/>
      <w:lvlJc w:val="left"/>
      <w:pPr>
        <w:ind w:left="3383" w:hanging="360"/>
      </w:pPr>
    </w:lvl>
    <w:lvl w:ilvl="5" w:tplc="0426001B" w:tentative="1">
      <w:start w:val="1"/>
      <w:numFmt w:val="lowerRoman"/>
      <w:lvlText w:val="%6."/>
      <w:lvlJc w:val="right"/>
      <w:pPr>
        <w:ind w:left="4103" w:hanging="180"/>
      </w:pPr>
    </w:lvl>
    <w:lvl w:ilvl="6" w:tplc="0426000F" w:tentative="1">
      <w:start w:val="1"/>
      <w:numFmt w:val="decimal"/>
      <w:lvlText w:val="%7."/>
      <w:lvlJc w:val="left"/>
      <w:pPr>
        <w:ind w:left="4823" w:hanging="360"/>
      </w:pPr>
    </w:lvl>
    <w:lvl w:ilvl="7" w:tplc="04260019" w:tentative="1">
      <w:start w:val="1"/>
      <w:numFmt w:val="lowerLetter"/>
      <w:lvlText w:val="%8."/>
      <w:lvlJc w:val="left"/>
      <w:pPr>
        <w:ind w:left="5543" w:hanging="360"/>
      </w:pPr>
    </w:lvl>
    <w:lvl w:ilvl="8" w:tplc="0426001B" w:tentative="1">
      <w:start w:val="1"/>
      <w:numFmt w:val="lowerRoman"/>
      <w:lvlText w:val="%9."/>
      <w:lvlJc w:val="right"/>
      <w:pPr>
        <w:ind w:left="6263" w:hanging="180"/>
      </w:pPr>
    </w:lvl>
  </w:abstractNum>
  <w:abstractNum w:abstractNumId="6" w15:restartNumberingAfterBreak="0">
    <w:nsid w:val="62743EB3"/>
    <w:multiLevelType w:val="hybridMultilevel"/>
    <w:tmpl w:val="92F8D0BC"/>
    <w:lvl w:ilvl="0" w:tplc="DA7C62F0">
      <w:start w:val="1"/>
      <w:numFmt w:val="decimal"/>
      <w:lvlText w:val="%1)"/>
      <w:lvlJc w:val="left"/>
      <w:pPr>
        <w:ind w:left="563" w:hanging="360"/>
      </w:pPr>
      <w:rPr>
        <w:rFonts w:hint="default"/>
      </w:rPr>
    </w:lvl>
    <w:lvl w:ilvl="1" w:tplc="61381EE4">
      <w:numFmt w:val="bullet"/>
      <w:lvlText w:val="-"/>
      <w:lvlJc w:val="left"/>
      <w:pPr>
        <w:ind w:left="1283" w:hanging="360"/>
      </w:pPr>
      <w:rPr>
        <w:rFonts w:ascii="Times New Roman" w:eastAsia="Times New Roman" w:hAnsi="Times New Roman" w:cs="Times New Roman" w:hint="default"/>
      </w:r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7" w15:restartNumberingAfterBreak="0">
    <w:nsid w:val="6717353A"/>
    <w:multiLevelType w:val="hybridMultilevel"/>
    <w:tmpl w:val="78442B12"/>
    <w:lvl w:ilvl="0" w:tplc="9D403188">
      <w:start w:val="1"/>
      <w:numFmt w:val="decimal"/>
      <w:lvlText w:val="%1."/>
      <w:lvlJc w:val="left"/>
      <w:pPr>
        <w:ind w:left="425" w:hanging="360"/>
      </w:pPr>
      <w:rPr>
        <w:rFonts w:hint="default"/>
      </w:rPr>
    </w:lvl>
    <w:lvl w:ilvl="1" w:tplc="04260019" w:tentative="1">
      <w:start w:val="1"/>
      <w:numFmt w:val="lowerLetter"/>
      <w:lvlText w:val="%2."/>
      <w:lvlJc w:val="left"/>
      <w:pPr>
        <w:ind w:left="1145" w:hanging="360"/>
      </w:pPr>
    </w:lvl>
    <w:lvl w:ilvl="2" w:tplc="0426001B" w:tentative="1">
      <w:start w:val="1"/>
      <w:numFmt w:val="lowerRoman"/>
      <w:lvlText w:val="%3."/>
      <w:lvlJc w:val="right"/>
      <w:pPr>
        <w:ind w:left="1865" w:hanging="180"/>
      </w:pPr>
    </w:lvl>
    <w:lvl w:ilvl="3" w:tplc="0426000F" w:tentative="1">
      <w:start w:val="1"/>
      <w:numFmt w:val="decimal"/>
      <w:lvlText w:val="%4."/>
      <w:lvlJc w:val="left"/>
      <w:pPr>
        <w:ind w:left="2585" w:hanging="360"/>
      </w:pPr>
    </w:lvl>
    <w:lvl w:ilvl="4" w:tplc="04260019" w:tentative="1">
      <w:start w:val="1"/>
      <w:numFmt w:val="lowerLetter"/>
      <w:lvlText w:val="%5."/>
      <w:lvlJc w:val="left"/>
      <w:pPr>
        <w:ind w:left="3305" w:hanging="360"/>
      </w:pPr>
    </w:lvl>
    <w:lvl w:ilvl="5" w:tplc="0426001B" w:tentative="1">
      <w:start w:val="1"/>
      <w:numFmt w:val="lowerRoman"/>
      <w:lvlText w:val="%6."/>
      <w:lvlJc w:val="right"/>
      <w:pPr>
        <w:ind w:left="4025" w:hanging="180"/>
      </w:pPr>
    </w:lvl>
    <w:lvl w:ilvl="6" w:tplc="0426000F" w:tentative="1">
      <w:start w:val="1"/>
      <w:numFmt w:val="decimal"/>
      <w:lvlText w:val="%7."/>
      <w:lvlJc w:val="left"/>
      <w:pPr>
        <w:ind w:left="4745" w:hanging="360"/>
      </w:pPr>
    </w:lvl>
    <w:lvl w:ilvl="7" w:tplc="04260019" w:tentative="1">
      <w:start w:val="1"/>
      <w:numFmt w:val="lowerLetter"/>
      <w:lvlText w:val="%8."/>
      <w:lvlJc w:val="left"/>
      <w:pPr>
        <w:ind w:left="5465" w:hanging="360"/>
      </w:pPr>
    </w:lvl>
    <w:lvl w:ilvl="8" w:tplc="0426001B" w:tentative="1">
      <w:start w:val="1"/>
      <w:numFmt w:val="lowerRoman"/>
      <w:lvlText w:val="%9."/>
      <w:lvlJc w:val="right"/>
      <w:pPr>
        <w:ind w:left="6185" w:hanging="180"/>
      </w:pPr>
    </w:lvl>
  </w:abstractNum>
  <w:abstractNum w:abstractNumId="8" w15:restartNumberingAfterBreak="0">
    <w:nsid w:val="70596714"/>
    <w:multiLevelType w:val="hybridMultilevel"/>
    <w:tmpl w:val="D824819A"/>
    <w:lvl w:ilvl="0" w:tplc="D86400FA">
      <w:start w:val="1"/>
      <w:numFmt w:val="decimal"/>
      <w:lvlText w:val="%1)"/>
      <w:lvlJc w:val="left"/>
      <w:pPr>
        <w:ind w:left="515" w:hanging="360"/>
      </w:pPr>
      <w:rPr>
        <w:rFonts w:hint="default"/>
      </w:rPr>
    </w:lvl>
    <w:lvl w:ilvl="1" w:tplc="04260019" w:tentative="1">
      <w:start w:val="1"/>
      <w:numFmt w:val="lowerLetter"/>
      <w:lvlText w:val="%2."/>
      <w:lvlJc w:val="left"/>
      <w:pPr>
        <w:ind w:left="1235" w:hanging="360"/>
      </w:pPr>
    </w:lvl>
    <w:lvl w:ilvl="2" w:tplc="0426001B" w:tentative="1">
      <w:start w:val="1"/>
      <w:numFmt w:val="lowerRoman"/>
      <w:lvlText w:val="%3."/>
      <w:lvlJc w:val="right"/>
      <w:pPr>
        <w:ind w:left="1955" w:hanging="180"/>
      </w:pPr>
    </w:lvl>
    <w:lvl w:ilvl="3" w:tplc="0426000F" w:tentative="1">
      <w:start w:val="1"/>
      <w:numFmt w:val="decimal"/>
      <w:lvlText w:val="%4."/>
      <w:lvlJc w:val="left"/>
      <w:pPr>
        <w:ind w:left="2675" w:hanging="360"/>
      </w:pPr>
    </w:lvl>
    <w:lvl w:ilvl="4" w:tplc="04260019" w:tentative="1">
      <w:start w:val="1"/>
      <w:numFmt w:val="lowerLetter"/>
      <w:lvlText w:val="%5."/>
      <w:lvlJc w:val="left"/>
      <w:pPr>
        <w:ind w:left="3395" w:hanging="360"/>
      </w:pPr>
    </w:lvl>
    <w:lvl w:ilvl="5" w:tplc="0426001B" w:tentative="1">
      <w:start w:val="1"/>
      <w:numFmt w:val="lowerRoman"/>
      <w:lvlText w:val="%6."/>
      <w:lvlJc w:val="right"/>
      <w:pPr>
        <w:ind w:left="4115" w:hanging="180"/>
      </w:pPr>
    </w:lvl>
    <w:lvl w:ilvl="6" w:tplc="0426000F" w:tentative="1">
      <w:start w:val="1"/>
      <w:numFmt w:val="decimal"/>
      <w:lvlText w:val="%7."/>
      <w:lvlJc w:val="left"/>
      <w:pPr>
        <w:ind w:left="4835" w:hanging="360"/>
      </w:pPr>
    </w:lvl>
    <w:lvl w:ilvl="7" w:tplc="04260019" w:tentative="1">
      <w:start w:val="1"/>
      <w:numFmt w:val="lowerLetter"/>
      <w:lvlText w:val="%8."/>
      <w:lvlJc w:val="left"/>
      <w:pPr>
        <w:ind w:left="5555" w:hanging="360"/>
      </w:pPr>
    </w:lvl>
    <w:lvl w:ilvl="8" w:tplc="0426001B" w:tentative="1">
      <w:start w:val="1"/>
      <w:numFmt w:val="lowerRoman"/>
      <w:lvlText w:val="%9."/>
      <w:lvlJc w:val="right"/>
      <w:pPr>
        <w:ind w:left="6275" w:hanging="180"/>
      </w:pPr>
    </w:lvl>
  </w:abstractNum>
  <w:num w:numId="1" w16cid:durableId="1561402913">
    <w:abstractNumId w:val="7"/>
  </w:num>
  <w:num w:numId="2" w16cid:durableId="270285038">
    <w:abstractNumId w:val="1"/>
  </w:num>
  <w:num w:numId="3" w16cid:durableId="625233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2229769">
    <w:abstractNumId w:val="6"/>
  </w:num>
  <w:num w:numId="5" w16cid:durableId="988099323">
    <w:abstractNumId w:val="8"/>
  </w:num>
  <w:num w:numId="6" w16cid:durableId="1803814393">
    <w:abstractNumId w:val="2"/>
  </w:num>
  <w:num w:numId="7" w16cid:durableId="1158695712">
    <w:abstractNumId w:val="3"/>
  </w:num>
  <w:num w:numId="8" w16cid:durableId="1292324132">
    <w:abstractNumId w:val="4"/>
  </w:num>
  <w:num w:numId="9" w16cid:durableId="915867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F0674"/>
    <w:rsid w:val="000027F5"/>
    <w:rsid w:val="00005E4D"/>
    <w:rsid w:val="000126C9"/>
    <w:rsid w:val="00032394"/>
    <w:rsid w:val="000329D9"/>
    <w:rsid w:val="00033DC5"/>
    <w:rsid w:val="000423F5"/>
    <w:rsid w:val="00044223"/>
    <w:rsid w:val="000539F8"/>
    <w:rsid w:val="00062ADF"/>
    <w:rsid w:val="00075C0B"/>
    <w:rsid w:val="00080F06"/>
    <w:rsid w:val="00082017"/>
    <w:rsid w:val="00087315"/>
    <w:rsid w:val="000909B1"/>
    <w:rsid w:val="000A3AD2"/>
    <w:rsid w:val="000A5146"/>
    <w:rsid w:val="000A54C4"/>
    <w:rsid w:val="000B1A4F"/>
    <w:rsid w:val="000B2340"/>
    <w:rsid w:val="000B2DDC"/>
    <w:rsid w:val="000B5353"/>
    <w:rsid w:val="000B57A9"/>
    <w:rsid w:val="000B6F23"/>
    <w:rsid w:val="000B731F"/>
    <w:rsid w:val="000C5431"/>
    <w:rsid w:val="000D1F2C"/>
    <w:rsid w:val="000D3575"/>
    <w:rsid w:val="000D5EE4"/>
    <w:rsid w:val="000D69DE"/>
    <w:rsid w:val="000D7D9A"/>
    <w:rsid w:val="000E2525"/>
    <w:rsid w:val="000E2BD7"/>
    <w:rsid w:val="000E3C47"/>
    <w:rsid w:val="000E3E01"/>
    <w:rsid w:val="000E5121"/>
    <w:rsid w:val="000F0EB9"/>
    <w:rsid w:val="000F2BC1"/>
    <w:rsid w:val="00100EDA"/>
    <w:rsid w:val="00106446"/>
    <w:rsid w:val="0010684C"/>
    <w:rsid w:val="00111AC0"/>
    <w:rsid w:val="00114C9E"/>
    <w:rsid w:val="00115110"/>
    <w:rsid w:val="00115D86"/>
    <w:rsid w:val="00117F27"/>
    <w:rsid w:val="00130F7E"/>
    <w:rsid w:val="00133396"/>
    <w:rsid w:val="00136062"/>
    <w:rsid w:val="001419CC"/>
    <w:rsid w:val="001463D8"/>
    <w:rsid w:val="00151303"/>
    <w:rsid w:val="00151CBA"/>
    <w:rsid w:val="00151CFE"/>
    <w:rsid w:val="00153B6F"/>
    <w:rsid w:val="00155B60"/>
    <w:rsid w:val="00162402"/>
    <w:rsid w:val="001675F2"/>
    <w:rsid w:val="00170145"/>
    <w:rsid w:val="00181482"/>
    <w:rsid w:val="00184672"/>
    <w:rsid w:val="00184814"/>
    <w:rsid w:val="001857E1"/>
    <w:rsid w:val="001907BC"/>
    <w:rsid w:val="001A2808"/>
    <w:rsid w:val="001A78F2"/>
    <w:rsid w:val="001B1826"/>
    <w:rsid w:val="001C15B5"/>
    <w:rsid w:val="001D041A"/>
    <w:rsid w:val="001D28AB"/>
    <w:rsid w:val="001D2BFB"/>
    <w:rsid w:val="001D69EF"/>
    <w:rsid w:val="001E21EC"/>
    <w:rsid w:val="001F2DBD"/>
    <w:rsid w:val="001F4C0D"/>
    <w:rsid w:val="001F652A"/>
    <w:rsid w:val="00207DB0"/>
    <w:rsid w:val="00214406"/>
    <w:rsid w:val="00216278"/>
    <w:rsid w:val="002166B7"/>
    <w:rsid w:val="00216E45"/>
    <w:rsid w:val="00222E57"/>
    <w:rsid w:val="00226812"/>
    <w:rsid w:val="00230974"/>
    <w:rsid w:val="00230F3A"/>
    <w:rsid w:val="0023121E"/>
    <w:rsid w:val="00234683"/>
    <w:rsid w:val="00244E4F"/>
    <w:rsid w:val="0025419D"/>
    <w:rsid w:val="00261C76"/>
    <w:rsid w:val="0026632D"/>
    <w:rsid w:val="00273CAB"/>
    <w:rsid w:val="00277208"/>
    <w:rsid w:val="00283342"/>
    <w:rsid w:val="00285213"/>
    <w:rsid w:val="00286989"/>
    <w:rsid w:val="002939BF"/>
    <w:rsid w:val="00294515"/>
    <w:rsid w:val="00296317"/>
    <w:rsid w:val="002A626B"/>
    <w:rsid w:val="002B1881"/>
    <w:rsid w:val="002B46CD"/>
    <w:rsid w:val="002B7989"/>
    <w:rsid w:val="002C2BE0"/>
    <w:rsid w:val="002C2E87"/>
    <w:rsid w:val="002C4E25"/>
    <w:rsid w:val="002C6DA1"/>
    <w:rsid w:val="002D19CD"/>
    <w:rsid w:val="002D1F1F"/>
    <w:rsid w:val="002E21F2"/>
    <w:rsid w:val="002E6425"/>
    <w:rsid w:val="002F45E9"/>
    <w:rsid w:val="002F4E08"/>
    <w:rsid w:val="002F7BEE"/>
    <w:rsid w:val="003027D2"/>
    <w:rsid w:val="00304C42"/>
    <w:rsid w:val="0030605B"/>
    <w:rsid w:val="00310407"/>
    <w:rsid w:val="00312067"/>
    <w:rsid w:val="00317970"/>
    <w:rsid w:val="00325E7A"/>
    <w:rsid w:val="00327AE4"/>
    <w:rsid w:val="003304FC"/>
    <w:rsid w:val="003330DC"/>
    <w:rsid w:val="00345B93"/>
    <w:rsid w:val="00350844"/>
    <w:rsid w:val="00354863"/>
    <w:rsid w:val="00361BD3"/>
    <w:rsid w:val="003676F8"/>
    <w:rsid w:val="00370D44"/>
    <w:rsid w:val="00381991"/>
    <w:rsid w:val="003833EE"/>
    <w:rsid w:val="003835A3"/>
    <w:rsid w:val="003901C9"/>
    <w:rsid w:val="00392C6F"/>
    <w:rsid w:val="003A1423"/>
    <w:rsid w:val="003A177A"/>
    <w:rsid w:val="003A2BED"/>
    <w:rsid w:val="003A6AE8"/>
    <w:rsid w:val="003B087E"/>
    <w:rsid w:val="003B0E64"/>
    <w:rsid w:val="003B1564"/>
    <w:rsid w:val="003B1A05"/>
    <w:rsid w:val="003B7DC3"/>
    <w:rsid w:val="003D321C"/>
    <w:rsid w:val="003D5261"/>
    <w:rsid w:val="003E01D5"/>
    <w:rsid w:val="003E3A7B"/>
    <w:rsid w:val="003E47E7"/>
    <w:rsid w:val="003E5E89"/>
    <w:rsid w:val="003F372C"/>
    <w:rsid w:val="003F3C43"/>
    <w:rsid w:val="003F3E8A"/>
    <w:rsid w:val="003F4490"/>
    <w:rsid w:val="00401D1D"/>
    <w:rsid w:val="00402FD3"/>
    <w:rsid w:val="004145C7"/>
    <w:rsid w:val="00415281"/>
    <w:rsid w:val="004160DA"/>
    <w:rsid w:val="004171B7"/>
    <w:rsid w:val="00417A50"/>
    <w:rsid w:val="00417F0C"/>
    <w:rsid w:val="00420575"/>
    <w:rsid w:val="00421127"/>
    <w:rsid w:val="004351D2"/>
    <w:rsid w:val="00437CEC"/>
    <w:rsid w:val="0044017E"/>
    <w:rsid w:val="00441FC6"/>
    <w:rsid w:val="00445E81"/>
    <w:rsid w:val="00450B0B"/>
    <w:rsid w:val="00456EC0"/>
    <w:rsid w:val="00461886"/>
    <w:rsid w:val="00465BF2"/>
    <w:rsid w:val="00471666"/>
    <w:rsid w:val="004719CC"/>
    <w:rsid w:val="00472232"/>
    <w:rsid w:val="004763CE"/>
    <w:rsid w:val="0047779F"/>
    <w:rsid w:val="0049074E"/>
    <w:rsid w:val="00492743"/>
    <w:rsid w:val="00495DDA"/>
    <w:rsid w:val="00496691"/>
    <w:rsid w:val="00496F75"/>
    <w:rsid w:val="00497085"/>
    <w:rsid w:val="004A388D"/>
    <w:rsid w:val="004A4A5D"/>
    <w:rsid w:val="004B4878"/>
    <w:rsid w:val="004C2873"/>
    <w:rsid w:val="004D4E3A"/>
    <w:rsid w:val="004E0B32"/>
    <w:rsid w:val="004E11E8"/>
    <w:rsid w:val="004E12D7"/>
    <w:rsid w:val="004F5123"/>
    <w:rsid w:val="005017AF"/>
    <w:rsid w:val="00502F93"/>
    <w:rsid w:val="0050633D"/>
    <w:rsid w:val="005103C8"/>
    <w:rsid w:val="00517F8C"/>
    <w:rsid w:val="005217F1"/>
    <w:rsid w:val="00523437"/>
    <w:rsid w:val="00525997"/>
    <w:rsid w:val="00527FE1"/>
    <w:rsid w:val="00531B09"/>
    <w:rsid w:val="005370D8"/>
    <w:rsid w:val="005405F9"/>
    <w:rsid w:val="00554533"/>
    <w:rsid w:val="00557970"/>
    <w:rsid w:val="0056579E"/>
    <w:rsid w:val="00565D22"/>
    <w:rsid w:val="00570988"/>
    <w:rsid w:val="00570A46"/>
    <w:rsid w:val="00570D51"/>
    <w:rsid w:val="00575DF2"/>
    <w:rsid w:val="005770D1"/>
    <w:rsid w:val="00577FE3"/>
    <w:rsid w:val="00580164"/>
    <w:rsid w:val="00585A59"/>
    <w:rsid w:val="00593A20"/>
    <w:rsid w:val="005941AF"/>
    <w:rsid w:val="00595543"/>
    <w:rsid w:val="005A7C27"/>
    <w:rsid w:val="005A7F1F"/>
    <w:rsid w:val="005B1E08"/>
    <w:rsid w:val="005C0DA0"/>
    <w:rsid w:val="005C103F"/>
    <w:rsid w:val="005C52F2"/>
    <w:rsid w:val="005E6678"/>
    <w:rsid w:val="005E7B09"/>
    <w:rsid w:val="00600B10"/>
    <w:rsid w:val="00602692"/>
    <w:rsid w:val="00606F4F"/>
    <w:rsid w:val="00613A6D"/>
    <w:rsid w:val="006149A9"/>
    <w:rsid w:val="00627D05"/>
    <w:rsid w:val="00631E23"/>
    <w:rsid w:val="00633EBD"/>
    <w:rsid w:val="00643EBA"/>
    <w:rsid w:val="00646E91"/>
    <w:rsid w:val="0066472C"/>
    <w:rsid w:val="006660A9"/>
    <w:rsid w:val="00670FC1"/>
    <w:rsid w:val="00671AE4"/>
    <w:rsid w:val="00672047"/>
    <w:rsid w:val="00676EE3"/>
    <w:rsid w:val="006824FB"/>
    <w:rsid w:val="00692E7E"/>
    <w:rsid w:val="00696F92"/>
    <w:rsid w:val="006A18A9"/>
    <w:rsid w:val="006A23C5"/>
    <w:rsid w:val="006A3011"/>
    <w:rsid w:val="006A76C2"/>
    <w:rsid w:val="006B305D"/>
    <w:rsid w:val="006B6635"/>
    <w:rsid w:val="006B7B41"/>
    <w:rsid w:val="006C0EF1"/>
    <w:rsid w:val="006E2AED"/>
    <w:rsid w:val="006E7CF5"/>
    <w:rsid w:val="006F0742"/>
    <w:rsid w:val="006F65D9"/>
    <w:rsid w:val="006F701B"/>
    <w:rsid w:val="00706957"/>
    <w:rsid w:val="00707F15"/>
    <w:rsid w:val="00711044"/>
    <w:rsid w:val="00722DA5"/>
    <w:rsid w:val="00724375"/>
    <w:rsid w:val="00726ECD"/>
    <w:rsid w:val="00730990"/>
    <w:rsid w:val="0073732B"/>
    <w:rsid w:val="007468B0"/>
    <w:rsid w:val="007513FB"/>
    <w:rsid w:val="00753903"/>
    <w:rsid w:val="00761E58"/>
    <w:rsid w:val="007656CE"/>
    <w:rsid w:val="00766318"/>
    <w:rsid w:val="00771F69"/>
    <w:rsid w:val="00775D3B"/>
    <w:rsid w:val="00784D4C"/>
    <w:rsid w:val="00791605"/>
    <w:rsid w:val="007A20CA"/>
    <w:rsid w:val="007A22C8"/>
    <w:rsid w:val="007B1591"/>
    <w:rsid w:val="007B73EB"/>
    <w:rsid w:val="007C4E9A"/>
    <w:rsid w:val="007C7CCE"/>
    <w:rsid w:val="007D4BF3"/>
    <w:rsid w:val="007E070F"/>
    <w:rsid w:val="007E4F6A"/>
    <w:rsid w:val="007F0B01"/>
    <w:rsid w:val="0080290A"/>
    <w:rsid w:val="00802D8E"/>
    <w:rsid w:val="00803899"/>
    <w:rsid w:val="00806B58"/>
    <w:rsid w:val="00807580"/>
    <w:rsid w:val="008156B1"/>
    <w:rsid w:val="00820C3D"/>
    <w:rsid w:val="0082535C"/>
    <w:rsid w:val="0082764A"/>
    <w:rsid w:val="00850106"/>
    <w:rsid w:val="0085155D"/>
    <w:rsid w:val="00853B93"/>
    <w:rsid w:val="00860DD2"/>
    <w:rsid w:val="00861F3D"/>
    <w:rsid w:val="00862B43"/>
    <w:rsid w:val="00863BE8"/>
    <w:rsid w:val="00866073"/>
    <w:rsid w:val="00866166"/>
    <w:rsid w:val="0087101F"/>
    <w:rsid w:val="0087550E"/>
    <w:rsid w:val="00877299"/>
    <w:rsid w:val="008775EE"/>
    <w:rsid w:val="008831BD"/>
    <w:rsid w:val="00891DF5"/>
    <w:rsid w:val="00892C0F"/>
    <w:rsid w:val="00894123"/>
    <w:rsid w:val="008A2BB0"/>
    <w:rsid w:val="008A449C"/>
    <w:rsid w:val="008C0FF5"/>
    <w:rsid w:val="008C2A84"/>
    <w:rsid w:val="008C4D18"/>
    <w:rsid w:val="008D13DA"/>
    <w:rsid w:val="008D222F"/>
    <w:rsid w:val="008D2547"/>
    <w:rsid w:val="008D3296"/>
    <w:rsid w:val="008D50FB"/>
    <w:rsid w:val="008E3979"/>
    <w:rsid w:val="008E66A3"/>
    <w:rsid w:val="008F3BD2"/>
    <w:rsid w:val="008F3C2E"/>
    <w:rsid w:val="008F3CFF"/>
    <w:rsid w:val="008F51D4"/>
    <w:rsid w:val="008F7ACE"/>
    <w:rsid w:val="0090799D"/>
    <w:rsid w:val="00907EE6"/>
    <w:rsid w:val="00910ED1"/>
    <w:rsid w:val="00914786"/>
    <w:rsid w:val="00917144"/>
    <w:rsid w:val="00921613"/>
    <w:rsid w:val="009275B4"/>
    <w:rsid w:val="009311DF"/>
    <w:rsid w:val="0093180F"/>
    <w:rsid w:val="00932146"/>
    <w:rsid w:val="009362FF"/>
    <w:rsid w:val="0093667A"/>
    <w:rsid w:val="009376FC"/>
    <w:rsid w:val="009508BD"/>
    <w:rsid w:val="00951C5E"/>
    <w:rsid w:val="00963792"/>
    <w:rsid w:val="00966E52"/>
    <w:rsid w:val="00966F86"/>
    <w:rsid w:val="0097050E"/>
    <w:rsid w:val="00974A04"/>
    <w:rsid w:val="00980A03"/>
    <w:rsid w:val="0098156F"/>
    <w:rsid w:val="00983405"/>
    <w:rsid w:val="00984771"/>
    <w:rsid w:val="00991D90"/>
    <w:rsid w:val="009928DC"/>
    <w:rsid w:val="00994D57"/>
    <w:rsid w:val="00997FD6"/>
    <w:rsid w:val="009A0937"/>
    <w:rsid w:val="009A2635"/>
    <w:rsid w:val="009B5F36"/>
    <w:rsid w:val="009B71B9"/>
    <w:rsid w:val="009C27A8"/>
    <w:rsid w:val="009C7296"/>
    <w:rsid w:val="009D108E"/>
    <w:rsid w:val="009D163B"/>
    <w:rsid w:val="009D4CA4"/>
    <w:rsid w:val="009E0739"/>
    <w:rsid w:val="009E1851"/>
    <w:rsid w:val="009E507E"/>
    <w:rsid w:val="009E6072"/>
    <w:rsid w:val="009E7A0C"/>
    <w:rsid w:val="009F7D36"/>
    <w:rsid w:val="00A025EA"/>
    <w:rsid w:val="00A03B3B"/>
    <w:rsid w:val="00A066A4"/>
    <w:rsid w:val="00A10CE8"/>
    <w:rsid w:val="00A13415"/>
    <w:rsid w:val="00A2115C"/>
    <w:rsid w:val="00A213DA"/>
    <w:rsid w:val="00A22B7C"/>
    <w:rsid w:val="00A24872"/>
    <w:rsid w:val="00A26433"/>
    <w:rsid w:val="00A26A11"/>
    <w:rsid w:val="00A30434"/>
    <w:rsid w:val="00A33F47"/>
    <w:rsid w:val="00A40E80"/>
    <w:rsid w:val="00A4208E"/>
    <w:rsid w:val="00A45DD8"/>
    <w:rsid w:val="00A462E0"/>
    <w:rsid w:val="00A5367D"/>
    <w:rsid w:val="00A53B1B"/>
    <w:rsid w:val="00A546FF"/>
    <w:rsid w:val="00A57FBE"/>
    <w:rsid w:val="00A62B30"/>
    <w:rsid w:val="00A66E03"/>
    <w:rsid w:val="00A7587E"/>
    <w:rsid w:val="00A75B18"/>
    <w:rsid w:val="00A76AE9"/>
    <w:rsid w:val="00A777B9"/>
    <w:rsid w:val="00A77E73"/>
    <w:rsid w:val="00A804B0"/>
    <w:rsid w:val="00A95012"/>
    <w:rsid w:val="00A96414"/>
    <w:rsid w:val="00A96896"/>
    <w:rsid w:val="00A96B8C"/>
    <w:rsid w:val="00AA2955"/>
    <w:rsid w:val="00AA6733"/>
    <w:rsid w:val="00AB28E3"/>
    <w:rsid w:val="00AB2E2C"/>
    <w:rsid w:val="00AB5CA4"/>
    <w:rsid w:val="00AB71FD"/>
    <w:rsid w:val="00AC0F19"/>
    <w:rsid w:val="00AC20E9"/>
    <w:rsid w:val="00AC43EB"/>
    <w:rsid w:val="00AD20FB"/>
    <w:rsid w:val="00AD6376"/>
    <w:rsid w:val="00AD68AE"/>
    <w:rsid w:val="00AD7260"/>
    <w:rsid w:val="00AE3663"/>
    <w:rsid w:val="00AE5012"/>
    <w:rsid w:val="00AF1A98"/>
    <w:rsid w:val="00AF47D0"/>
    <w:rsid w:val="00AF52E8"/>
    <w:rsid w:val="00B13DBA"/>
    <w:rsid w:val="00B156F7"/>
    <w:rsid w:val="00B1672F"/>
    <w:rsid w:val="00B20134"/>
    <w:rsid w:val="00B234D5"/>
    <w:rsid w:val="00B23AF5"/>
    <w:rsid w:val="00B250C4"/>
    <w:rsid w:val="00B34FAB"/>
    <w:rsid w:val="00B419D8"/>
    <w:rsid w:val="00B47F66"/>
    <w:rsid w:val="00B56C78"/>
    <w:rsid w:val="00B76E63"/>
    <w:rsid w:val="00B91CB1"/>
    <w:rsid w:val="00B94E91"/>
    <w:rsid w:val="00B96CCE"/>
    <w:rsid w:val="00BA0D3E"/>
    <w:rsid w:val="00BA3C2B"/>
    <w:rsid w:val="00BA5074"/>
    <w:rsid w:val="00BB481B"/>
    <w:rsid w:val="00BB7083"/>
    <w:rsid w:val="00BB7A59"/>
    <w:rsid w:val="00BD38E7"/>
    <w:rsid w:val="00BD4118"/>
    <w:rsid w:val="00BD7258"/>
    <w:rsid w:val="00BE10FF"/>
    <w:rsid w:val="00BE2440"/>
    <w:rsid w:val="00BE3E7E"/>
    <w:rsid w:val="00BE5C39"/>
    <w:rsid w:val="00BE69BA"/>
    <w:rsid w:val="00BE77D2"/>
    <w:rsid w:val="00BF1EC5"/>
    <w:rsid w:val="00C06B8A"/>
    <w:rsid w:val="00C07098"/>
    <w:rsid w:val="00C10CCD"/>
    <w:rsid w:val="00C129D5"/>
    <w:rsid w:val="00C30785"/>
    <w:rsid w:val="00C41325"/>
    <w:rsid w:val="00C4220F"/>
    <w:rsid w:val="00C4257F"/>
    <w:rsid w:val="00C5148C"/>
    <w:rsid w:val="00C5355B"/>
    <w:rsid w:val="00C569E4"/>
    <w:rsid w:val="00C573DB"/>
    <w:rsid w:val="00C61E78"/>
    <w:rsid w:val="00C72E73"/>
    <w:rsid w:val="00C85C3D"/>
    <w:rsid w:val="00C91790"/>
    <w:rsid w:val="00CA125D"/>
    <w:rsid w:val="00CA1BF1"/>
    <w:rsid w:val="00CA3248"/>
    <w:rsid w:val="00CA4A5E"/>
    <w:rsid w:val="00CA618F"/>
    <w:rsid w:val="00CB09F5"/>
    <w:rsid w:val="00CB0A83"/>
    <w:rsid w:val="00CB364E"/>
    <w:rsid w:val="00CC2E53"/>
    <w:rsid w:val="00CC5BCA"/>
    <w:rsid w:val="00CC62B0"/>
    <w:rsid w:val="00CD0104"/>
    <w:rsid w:val="00CD0811"/>
    <w:rsid w:val="00CD5F80"/>
    <w:rsid w:val="00CD770C"/>
    <w:rsid w:val="00CE0CBD"/>
    <w:rsid w:val="00CE48FE"/>
    <w:rsid w:val="00CF0674"/>
    <w:rsid w:val="00CF3FB1"/>
    <w:rsid w:val="00D14A0D"/>
    <w:rsid w:val="00D2001E"/>
    <w:rsid w:val="00D211AB"/>
    <w:rsid w:val="00D23C77"/>
    <w:rsid w:val="00D25193"/>
    <w:rsid w:val="00D26664"/>
    <w:rsid w:val="00D3206A"/>
    <w:rsid w:val="00D426D8"/>
    <w:rsid w:val="00D42B2E"/>
    <w:rsid w:val="00D44DED"/>
    <w:rsid w:val="00D45B45"/>
    <w:rsid w:val="00D461F6"/>
    <w:rsid w:val="00D507A1"/>
    <w:rsid w:val="00D513C4"/>
    <w:rsid w:val="00D5639B"/>
    <w:rsid w:val="00D62D83"/>
    <w:rsid w:val="00D63F30"/>
    <w:rsid w:val="00D64477"/>
    <w:rsid w:val="00D65566"/>
    <w:rsid w:val="00D655D9"/>
    <w:rsid w:val="00D6647E"/>
    <w:rsid w:val="00D677CB"/>
    <w:rsid w:val="00D708A3"/>
    <w:rsid w:val="00D71C0A"/>
    <w:rsid w:val="00D75218"/>
    <w:rsid w:val="00D80075"/>
    <w:rsid w:val="00D8412B"/>
    <w:rsid w:val="00D86918"/>
    <w:rsid w:val="00DA1D57"/>
    <w:rsid w:val="00DA4990"/>
    <w:rsid w:val="00DA4A2B"/>
    <w:rsid w:val="00DA71EB"/>
    <w:rsid w:val="00DA7A50"/>
    <w:rsid w:val="00DB001A"/>
    <w:rsid w:val="00DB5144"/>
    <w:rsid w:val="00DB51DF"/>
    <w:rsid w:val="00DC3A62"/>
    <w:rsid w:val="00DD572A"/>
    <w:rsid w:val="00DD71B5"/>
    <w:rsid w:val="00DD72E6"/>
    <w:rsid w:val="00DE1A6E"/>
    <w:rsid w:val="00DE31F6"/>
    <w:rsid w:val="00DE34F1"/>
    <w:rsid w:val="00DF061A"/>
    <w:rsid w:val="00DF7B05"/>
    <w:rsid w:val="00E00210"/>
    <w:rsid w:val="00E05C5E"/>
    <w:rsid w:val="00E06DE7"/>
    <w:rsid w:val="00E10694"/>
    <w:rsid w:val="00E1180F"/>
    <w:rsid w:val="00E24D71"/>
    <w:rsid w:val="00E27398"/>
    <w:rsid w:val="00E30C9B"/>
    <w:rsid w:val="00E34B58"/>
    <w:rsid w:val="00E35E88"/>
    <w:rsid w:val="00E50B0E"/>
    <w:rsid w:val="00E54741"/>
    <w:rsid w:val="00E5746E"/>
    <w:rsid w:val="00E61220"/>
    <w:rsid w:val="00E6268B"/>
    <w:rsid w:val="00E64B2F"/>
    <w:rsid w:val="00E7443E"/>
    <w:rsid w:val="00E816FD"/>
    <w:rsid w:val="00E8418A"/>
    <w:rsid w:val="00E86405"/>
    <w:rsid w:val="00E92145"/>
    <w:rsid w:val="00E93067"/>
    <w:rsid w:val="00E93809"/>
    <w:rsid w:val="00E9795F"/>
    <w:rsid w:val="00EA3EAC"/>
    <w:rsid w:val="00EA7C72"/>
    <w:rsid w:val="00EB36A6"/>
    <w:rsid w:val="00EB3F31"/>
    <w:rsid w:val="00EB5092"/>
    <w:rsid w:val="00EC0B67"/>
    <w:rsid w:val="00ED0512"/>
    <w:rsid w:val="00ED10E2"/>
    <w:rsid w:val="00ED2766"/>
    <w:rsid w:val="00ED62B1"/>
    <w:rsid w:val="00ED6EBF"/>
    <w:rsid w:val="00EF0153"/>
    <w:rsid w:val="00EF3453"/>
    <w:rsid w:val="00EF5119"/>
    <w:rsid w:val="00EF6683"/>
    <w:rsid w:val="00F024AE"/>
    <w:rsid w:val="00F13F98"/>
    <w:rsid w:val="00F169D6"/>
    <w:rsid w:val="00F21B5D"/>
    <w:rsid w:val="00F21E75"/>
    <w:rsid w:val="00F228C2"/>
    <w:rsid w:val="00F268A4"/>
    <w:rsid w:val="00F336EB"/>
    <w:rsid w:val="00F45289"/>
    <w:rsid w:val="00F46181"/>
    <w:rsid w:val="00F511E2"/>
    <w:rsid w:val="00F60984"/>
    <w:rsid w:val="00F6185B"/>
    <w:rsid w:val="00F6695B"/>
    <w:rsid w:val="00F72B2F"/>
    <w:rsid w:val="00F80569"/>
    <w:rsid w:val="00F839C3"/>
    <w:rsid w:val="00F83CDB"/>
    <w:rsid w:val="00F85321"/>
    <w:rsid w:val="00F978D8"/>
    <w:rsid w:val="00FA03DA"/>
    <w:rsid w:val="00FA3D3D"/>
    <w:rsid w:val="00FA591D"/>
    <w:rsid w:val="00FB14A0"/>
    <w:rsid w:val="00FB7A8A"/>
    <w:rsid w:val="00FC19DC"/>
    <w:rsid w:val="00FC231E"/>
    <w:rsid w:val="00FC5784"/>
    <w:rsid w:val="00FD0A23"/>
    <w:rsid w:val="00FD7226"/>
    <w:rsid w:val="00FE341D"/>
    <w:rsid w:val="00FE382B"/>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5B9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0164"/>
    <w:rPr>
      <w:sz w:val="16"/>
      <w:szCs w:val="16"/>
    </w:rPr>
  </w:style>
  <w:style w:type="paragraph" w:styleId="CommentText">
    <w:name w:val="annotation text"/>
    <w:basedOn w:val="Normal"/>
    <w:link w:val="CommentTextChar"/>
    <w:uiPriority w:val="99"/>
    <w:unhideWhenUsed/>
    <w:rsid w:val="00580164"/>
    <w:pPr>
      <w:spacing w:line="240" w:lineRule="auto"/>
    </w:pPr>
    <w:rPr>
      <w:sz w:val="20"/>
      <w:szCs w:val="20"/>
    </w:rPr>
  </w:style>
  <w:style w:type="character" w:customStyle="1" w:styleId="CommentTextChar">
    <w:name w:val="Comment Text Char"/>
    <w:basedOn w:val="DefaultParagraphFont"/>
    <w:link w:val="CommentText"/>
    <w:uiPriority w:val="99"/>
    <w:rsid w:val="00580164"/>
    <w:rPr>
      <w:sz w:val="20"/>
      <w:szCs w:val="20"/>
    </w:rPr>
  </w:style>
  <w:style w:type="paragraph" w:styleId="CommentSubject">
    <w:name w:val="annotation subject"/>
    <w:basedOn w:val="CommentText"/>
    <w:next w:val="CommentText"/>
    <w:link w:val="CommentSubjectChar"/>
    <w:uiPriority w:val="99"/>
    <w:semiHidden/>
    <w:unhideWhenUsed/>
    <w:rsid w:val="00580164"/>
    <w:rPr>
      <w:b/>
      <w:bCs/>
    </w:rPr>
  </w:style>
  <w:style w:type="character" w:customStyle="1" w:styleId="CommentSubjectChar">
    <w:name w:val="Comment Subject Char"/>
    <w:basedOn w:val="CommentTextChar"/>
    <w:link w:val="CommentSubject"/>
    <w:uiPriority w:val="99"/>
    <w:semiHidden/>
    <w:rsid w:val="00580164"/>
    <w:rPr>
      <w:b/>
      <w:bCs/>
      <w:sz w:val="20"/>
      <w:szCs w:val="20"/>
    </w:rPr>
  </w:style>
  <w:style w:type="paragraph" w:styleId="BalloonText">
    <w:name w:val="Balloon Text"/>
    <w:basedOn w:val="Normal"/>
    <w:link w:val="BalloonTextChar"/>
    <w:uiPriority w:val="99"/>
    <w:semiHidden/>
    <w:unhideWhenUsed/>
    <w:rsid w:val="00580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164"/>
    <w:rPr>
      <w:rFonts w:ascii="Segoe UI" w:hAnsi="Segoe UI" w:cs="Segoe UI"/>
      <w:sz w:val="18"/>
      <w:szCs w:val="18"/>
    </w:rPr>
  </w:style>
  <w:style w:type="paragraph" w:styleId="ListParagraph">
    <w:name w:val="List Paragraph"/>
    <w:basedOn w:val="Normal"/>
    <w:uiPriority w:val="34"/>
    <w:qFormat/>
    <w:rsid w:val="00570988"/>
    <w:pPr>
      <w:ind w:left="720"/>
      <w:contextualSpacing/>
    </w:pPr>
  </w:style>
  <w:style w:type="paragraph" w:styleId="Revision">
    <w:name w:val="Revision"/>
    <w:hidden/>
    <w:uiPriority w:val="99"/>
    <w:semiHidden/>
    <w:rsid w:val="00EC0B67"/>
    <w:pPr>
      <w:spacing w:after="0" w:line="240" w:lineRule="auto"/>
    </w:pPr>
  </w:style>
  <w:style w:type="table" w:styleId="TableGrid">
    <w:name w:val="Table Grid"/>
    <w:basedOn w:val="TableNormal"/>
    <w:uiPriority w:val="39"/>
    <w:rsid w:val="003B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7D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DC3"/>
  </w:style>
  <w:style w:type="paragraph" w:styleId="Footer">
    <w:name w:val="footer"/>
    <w:basedOn w:val="Normal"/>
    <w:link w:val="FooterChar"/>
    <w:uiPriority w:val="99"/>
    <w:unhideWhenUsed/>
    <w:rsid w:val="003B7D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7023-46D3-4D89-9F4F-A91F9582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20303</Words>
  <Characters>11574</Characters>
  <Application>Microsoft Office Word</Application>
  <DocSecurity>4</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2023-01-05T08:45:00Z</dcterms:created>
  <dcterms:modified xsi:type="dcterms:W3CDTF">2023-01-05T08:45:00Z</dcterms:modified>
</cp:coreProperties>
</file>