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35CCF" w:rsidRPr="00284378" w:rsidRDefault="00C35CCF">
      <w:pPr>
        <w:spacing w:after="0"/>
      </w:pPr>
      <w:bookmarkStart w:id="0" w:name="_GoBack"/>
      <w:bookmarkEnd w:id="0"/>
    </w:p>
    <w:p w:rsidR="00A1098D" w:rsidRPr="00284378" w:rsidRDefault="00A1098D">
      <w:pPr>
        <w:pStyle w:val="Heading3"/>
        <w:spacing w:before="0" w:after="0"/>
        <w:rPr>
          <w:b w:val="0"/>
          <w:bCs w:val="0"/>
          <w:sz w:val="28"/>
          <w:szCs w:val="28"/>
        </w:rPr>
      </w:pPr>
    </w:p>
    <w:p w:rsidR="004C38B4" w:rsidRPr="00284378" w:rsidRDefault="004C38B4">
      <w:pPr>
        <w:pStyle w:val="Heading3"/>
        <w:spacing w:before="0" w:after="0"/>
        <w:rPr>
          <w:b w:val="0"/>
          <w:bCs w:val="0"/>
          <w:sz w:val="28"/>
          <w:szCs w:val="28"/>
        </w:rPr>
      </w:pPr>
    </w:p>
    <w:p w:rsidR="00721206" w:rsidRPr="00284378" w:rsidRDefault="00721206" w:rsidP="009306EC">
      <w:pPr>
        <w:tabs>
          <w:tab w:val="left" w:pos="6663"/>
        </w:tabs>
        <w:spacing w:after="0" w:line="240" w:lineRule="auto"/>
        <w:rPr>
          <w:rFonts w:ascii="Times New Roman" w:hAnsi="Times New Roman"/>
          <w:sz w:val="28"/>
          <w:szCs w:val="28"/>
        </w:rPr>
      </w:pPr>
      <w:r w:rsidRPr="00284378">
        <w:rPr>
          <w:rFonts w:ascii="Times New Roman" w:hAnsi="Times New Roman"/>
          <w:sz w:val="28"/>
          <w:szCs w:val="28"/>
        </w:rPr>
        <w:t xml:space="preserve">2020. gada </w:t>
      </w:r>
      <w:r w:rsidR="00584251">
        <w:rPr>
          <w:rFonts w:ascii="Times New Roman" w:hAnsi="Times New Roman"/>
          <w:sz w:val="28"/>
          <w:szCs w:val="28"/>
        </w:rPr>
        <w:t>23. aprīlī</w:t>
      </w:r>
      <w:r w:rsidRPr="00284378">
        <w:rPr>
          <w:rFonts w:ascii="Times New Roman" w:hAnsi="Times New Roman"/>
          <w:sz w:val="28"/>
          <w:szCs w:val="28"/>
        </w:rPr>
        <w:tab/>
        <w:t>Rīkojums Nr.</w:t>
      </w:r>
      <w:r w:rsidR="00584251">
        <w:rPr>
          <w:rFonts w:ascii="Times New Roman" w:hAnsi="Times New Roman"/>
          <w:sz w:val="28"/>
          <w:szCs w:val="28"/>
        </w:rPr>
        <w:t> 218</w:t>
      </w:r>
    </w:p>
    <w:p w:rsidR="00721206" w:rsidRPr="00284378" w:rsidRDefault="00721206" w:rsidP="009306EC">
      <w:pPr>
        <w:tabs>
          <w:tab w:val="left" w:pos="6663"/>
        </w:tabs>
        <w:spacing w:after="0" w:line="240" w:lineRule="auto"/>
        <w:rPr>
          <w:rFonts w:ascii="Times New Roman" w:hAnsi="Times New Roman"/>
          <w:sz w:val="28"/>
          <w:szCs w:val="28"/>
        </w:rPr>
      </w:pPr>
      <w:r w:rsidRPr="00284378">
        <w:rPr>
          <w:rFonts w:ascii="Times New Roman" w:hAnsi="Times New Roman"/>
          <w:sz w:val="28"/>
          <w:szCs w:val="28"/>
        </w:rPr>
        <w:t>Rīgā</w:t>
      </w:r>
      <w:r w:rsidRPr="00284378">
        <w:rPr>
          <w:rFonts w:ascii="Times New Roman" w:hAnsi="Times New Roman"/>
          <w:sz w:val="28"/>
          <w:szCs w:val="28"/>
        </w:rPr>
        <w:tab/>
        <w:t>(prot. Nr. </w:t>
      </w:r>
      <w:r w:rsidR="00584251">
        <w:rPr>
          <w:rFonts w:ascii="Times New Roman" w:hAnsi="Times New Roman"/>
          <w:sz w:val="28"/>
          <w:szCs w:val="28"/>
        </w:rPr>
        <w:t>27</w:t>
      </w:r>
      <w:r w:rsidRPr="00284378">
        <w:rPr>
          <w:rFonts w:ascii="Times New Roman" w:hAnsi="Times New Roman"/>
          <w:sz w:val="28"/>
          <w:szCs w:val="28"/>
        </w:rPr>
        <w:t> </w:t>
      </w:r>
      <w:r w:rsidR="00584251">
        <w:rPr>
          <w:rFonts w:ascii="Times New Roman" w:hAnsi="Times New Roman"/>
          <w:sz w:val="28"/>
          <w:szCs w:val="28"/>
        </w:rPr>
        <w:t>9</w:t>
      </w:r>
      <w:r w:rsidRPr="00284378">
        <w:rPr>
          <w:rFonts w:ascii="Times New Roman" w:hAnsi="Times New Roman"/>
          <w:sz w:val="28"/>
          <w:szCs w:val="28"/>
        </w:rPr>
        <w:t>. §)</w:t>
      </w:r>
    </w:p>
    <w:p w:rsidR="004C38B4" w:rsidRPr="00284378" w:rsidRDefault="004C38B4">
      <w:pPr>
        <w:pStyle w:val="Heading3"/>
        <w:spacing w:before="0" w:after="0"/>
        <w:rPr>
          <w:b w:val="0"/>
          <w:bCs w:val="0"/>
          <w:sz w:val="28"/>
          <w:szCs w:val="28"/>
        </w:rPr>
      </w:pPr>
    </w:p>
    <w:p w:rsidR="004C38B4" w:rsidRPr="00284378" w:rsidRDefault="004C38B4">
      <w:pPr>
        <w:pStyle w:val="Heading3"/>
        <w:spacing w:before="0" w:after="0"/>
        <w:jc w:val="center"/>
      </w:pPr>
      <w:r w:rsidRPr="00284378">
        <w:rPr>
          <w:sz w:val="28"/>
          <w:szCs w:val="28"/>
        </w:rPr>
        <w:t xml:space="preserve">Grozījumi Ministru kabineta 2020. gada 12. marta rīkojumā Nr. 103 </w:t>
      </w:r>
    </w:p>
    <w:p w:rsidR="004C38B4" w:rsidRPr="00284378" w:rsidRDefault="004C38B4">
      <w:pPr>
        <w:pStyle w:val="Heading3"/>
        <w:spacing w:before="0" w:after="0"/>
        <w:jc w:val="center"/>
      </w:pPr>
      <w:r w:rsidRPr="00284378">
        <w:rPr>
          <w:sz w:val="28"/>
          <w:szCs w:val="28"/>
        </w:rPr>
        <w:t>"Par ārkārtējās situācijas izsludināšanu"</w:t>
      </w:r>
    </w:p>
    <w:p w:rsidR="004C38B4" w:rsidRPr="00284378" w:rsidRDefault="004C38B4">
      <w:pPr>
        <w:pStyle w:val="NormalWeb"/>
        <w:spacing w:before="0" w:after="0"/>
        <w:ind w:firstLine="709"/>
        <w:jc w:val="both"/>
        <w:rPr>
          <w:sz w:val="28"/>
          <w:szCs w:val="28"/>
        </w:rPr>
      </w:pPr>
    </w:p>
    <w:p w:rsidR="005575B5" w:rsidRPr="00284378" w:rsidRDefault="004C38B4" w:rsidP="00CB7EB3">
      <w:pPr>
        <w:spacing w:after="0" w:line="240" w:lineRule="auto"/>
        <w:ind w:firstLine="709"/>
        <w:jc w:val="both"/>
      </w:pPr>
      <w:r w:rsidRPr="00284378">
        <w:rPr>
          <w:rFonts w:ascii="Times New Roman" w:hAnsi="Times New Roman"/>
          <w:sz w:val="28"/>
          <w:szCs w:val="28"/>
        </w:rPr>
        <w:t xml:space="preserve">1. Izdarīt Ministru kabineta 2020. gada 12. marta rīkojumā Nr. 103 "Par ārkārtējās situācijas izsludināšanu" (Latvijas Vēstnesis, 2020, </w:t>
      </w:r>
      <w:r w:rsidR="00F407A8" w:rsidRPr="00284378">
        <w:rPr>
          <w:rFonts w:ascii="Times New Roman" w:hAnsi="Times New Roman"/>
          <w:sz w:val="28"/>
          <w:szCs w:val="28"/>
          <w:shd w:val="clear" w:color="auto" w:fill="FFFFFF"/>
        </w:rPr>
        <w:t>51A., 52A., 52B., 54A., 56A., 60A., 62B., 62D., 64B., 66B., 69B., 71C., 75A., 78A.</w:t>
      </w:r>
      <w:r w:rsidR="00E21C91" w:rsidRPr="00284378">
        <w:rPr>
          <w:rFonts w:ascii="Times New Roman" w:hAnsi="Times New Roman"/>
          <w:sz w:val="28"/>
          <w:szCs w:val="28"/>
          <w:shd w:val="clear" w:color="auto" w:fill="FFFFFF"/>
        </w:rPr>
        <w:t> </w:t>
      </w:r>
      <w:r w:rsidRPr="00284378">
        <w:rPr>
          <w:rFonts w:ascii="Times New Roman" w:hAnsi="Times New Roman"/>
          <w:sz w:val="28"/>
          <w:szCs w:val="28"/>
        </w:rPr>
        <w:t>nr.) šādus grozījumus:</w:t>
      </w:r>
    </w:p>
    <w:p w:rsidR="00C30978" w:rsidRPr="00284378" w:rsidRDefault="00C30978" w:rsidP="00C30978">
      <w:pPr>
        <w:spacing w:after="0" w:line="240" w:lineRule="auto"/>
        <w:ind w:firstLine="709"/>
        <w:jc w:val="both"/>
        <w:rPr>
          <w:rFonts w:ascii="Times New Roman" w:hAnsi="Times New Roman"/>
          <w:sz w:val="28"/>
          <w:szCs w:val="28"/>
        </w:rPr>
      </w:pPr>
      <w:r w:rsidRPr="00284378">
        <w:rPr>
          <w:rFonts w:ascii="Times New Roman" w:hAnsi="Times New Roman"/>
          <w:sz w:val="28"/>
          <w:szCs w:val="28"/>
        </w:rPr>
        <w:t>1.</w:t>
      </w:r>
      <w:r w:rsidR="00284D37" w:rsidRPr="00284378">
        <w:rPr>
          <w:rFonts w:ascii="Times New Roman" w:hAnsi="Times New Roman"/>
          <w:sz w:val="28"/>
          <w:szCs w:val="28"/>
        </w:rPr>
        <w:t>1</w:t>
      </w:r>
      <w:r w:rsidRPr="00284378">
        <w:rPr>
          <w:rFonts w:ascii="Times New Roman" w:hAnsi="Times New Roman"/>
          <w:sz w:val="28"/>
          <w:szCs w:val="28"/>
        </w:rPr>
        <w:t>.</w:t>
      </w:r>
      <w:r w:rsidR="00A1098D" w:rsidRPr="00284378">
        <w:rPr>
          <w:rFonts w:ascii="Times New Roman" w:hAnsi="Times New Roman"/>
          <w:sz w:val="28"/>
          <w:szCs w:val="28"/>
        </w:rPr>
        <w:t> </w:t>
      </w:r>
      <w:r w:rsidRPr="00284378">
        <w:rPr>
          <w:rFonts w:ascii="Times New Roman" w:hAnsi="Times New Roman"/>
          <w:sz w:val="28"/>
          <w:szCs w:val="28"/>
        </w:rPr>
        <w:t>izteikt 4.16.</w:t>
      </w:r>
      <w:r w:rsidR="00E21C91" w:rsidRPr="00284378">
        <w:rPr>
          <w:rFonts w:ascii="Times New Roman" w:hAnsi="Times New Roman"/>
          <w:sz w:val="28"/>
          <w:szCs w:val="28"/>
        </w:rPr>
        <w:t> </w:t>
      </w:r>
      <w:r w:rsidRPr="00284378">
        <w:rPr>
          <w:rFonts w:ascii="Times New Roman" w:hAnsi="Times New Roman"/>
          <w:sz w:val="28"/>
          <w:szCs w:val="28"/>
        </w:rPr>
        <w:t>apakšpunktu šādā redakcijā:</w:t>
      </w:r>
    </w:p>
    <w:p w:rsidR="008B2C81" w:rsidRPr="00284378" w:rsidRDefault="008B2C81" w:rsidP="003E6575">
      <w:pPr>
        <w:spacing w:after="0" w:line="240" w:lineRule="auto"/>
        <w:ind w:firstLine="709"/>
        <w:jc w:val="both"/>
        <w:rPr>
          <w:rFonts w:ascii="Times New Roman" w:hAnsi="Times New Roman"/>
          <w:sz w:val="28"/>
          <w:szCs w:val="28"/>
        </w:rPr>
      </w:pPr>
    </w:p>
    <w:p w:rsidR="00C30978" w:rsidRPr="00284378" w:rsidRDefault="00C30978" w:rsidP="003E6575">
      <w:pPr>
        <w:spacing w:after="0" w:line="240" w:lineRule="auto"/>
        <w:ind w:firstLine="709"/>
        <w:jc w:val="both"/>
        <w:rPr>
          <w:rFonts w:ascii="Times New Roman" w:hAnsi="Times New Roman"/>
          <w:sz w:val="28"/>
          <w:szCs w:val="28"/>
        </w:rPr>
      </w:pPr>
      <w:r w:rsidRPr="00284378">
        <w:rPr>
          <w:rFonts w:ascii="Times New Roman" w:hAnsi="Times New Roman"/>
          <w:sz w:val="28"/>
          <w:szCs w:val="28"/>
        </w:rPr>
        <w:t>"4.16.</w:t>
      </w:r>
      <w:r w:rsidR="00E21C91" w:rsidRPr="00284378">
        <w:rPr>
          <w:rFonts w:ascii="Times New Roman" w:hAnsi="Times New Roman"/>
          <w:sz w:val="28"/>
          <w:szCs w:val="28"/>
        </w:rPr>
        <w:t> </w:t>
      </w:r>
      <w:r w:rsidRPr="00284378">
        <w:rPr>
          <w:rFonts w:ascii="Times New Roman" w:hAnsi="Times New Roman"/>
          <w:sz w:val="28"/>
          <w:szCs w:val="28"/>
        </w:rPr>
        <w:t>ar 2020.</w:t>
      </w:r>
      <w:r w:rsidR="00E21C91" w:rsidRPr="00284378">
        <w:rPr>
          <w:rFonts w:ascii="Times New Roman" w:hAnsi="Times New Roman"/>
          <w:sz w:val="28"/>
          <w:szCs w:val="28"/>
        </w:rPr>
        <w:t> </w:t>
      </w:r>
      <w:r w:rsidRPr="00284378">
        <w:rPr>
          <w:rFonts w:ascii="Times New Roman" w:hAnsi="Times New Roman"/>
          <w:sz w:val="28"/>
          <w:szCs w:val="28"/>
        </w:rPr>
        <w:t>gada 17.</w:t>
      </w:r>
      <w:r w:rsidR="00E21C91" w:rsidRPr="00284378">
        <w:rPr>
          <w:rFonts w:ascii="Times New Roman" w:hAnsi="Times New Roman"/>
          <w:sz w:val="28"/>
          <w:szCs w:val="28"/>
        </w:rPr>
        <w:t> </w:t>
      </w:r>
      <w:r w:rsidRPr="00284378">
        <w:rPr>
          <w:rFonts w:ascii="Times New Roman" w:hAnsi="Times New Roman"/>
          <w:sz w:val="28"/>
          <w:szCs w:val="28"/>
        </w:rPr>
        <w:t>martu atcelt starptautiskos pasažieru pārvadājumus caur lidostām, ostām, ar autobusiem un dzelzceļa transportu, izņemot pasažieru pārvadājumus ar valsts gaisa kuģiem un militāro transportu, kā arī privātos un biznesa lidojumus (ne vairāk par pieciem pasažieriem). Satiksmes ministram atļaut izdarīt izņēmumus attiecībā uz starptautisk</w:t>
      </w:r>
      <w:r w:rsidR="00E21C91" w:rsidRPr="00284378">
        <w:rPr>
          <w:rFonts w:ascii="Times New Roman" w:hAnsi="Times New Roman"/>
          <w:sz w:val="28"/>
          <w:szCs w:val="28"/>
        </w:rPr>
        <w:t>iem</w:t>
      </w:r>
      <w:r w:rsidRPr="00284378">
        <w:rPr>
          <w:rFonts w:ascii="Times New Roman" w:hAnsi="Times New Roman"/>
          <w:sz w:val="28"/>
          <w:szCs w:val="28"/>
        </w:rPr>
        <w:t xml:space="preserve"> pasažieru pārvadājum</w:t>
      </w:r>
      <w:r w:rsidR="00E21C91" w:rsidRPr="00284378">
        <w:rPr>
          <w:rFonts w:ascii="Times New Roman" w:hAnsi="Times New Roman"/>
          <w:sz w:val="28"/>
          <w:szCs w:val="28"/>
        </w:rPr>
        <w:t>iem</w:t>
      </w:r>
      <w:r w:rsidRPr="00284378">
        <w:rPr>
          <w:rFonts w:ascii="Times New Roman" w:hAnsi="Times New Roman"/>
          <w:sz w:val="28"/>
          <w:szCs w:val="28"/>
        </w:rPr>
        <w:t xml:space="preserve">. Satiksmes ministrs lēmumu </w:t>
      </w:r>
      <w:r w:rsidR="00E21C91" w:rsidRPr="00284378">
        <w:rPr>
          <w:rFonts w:ascii="Times New Roman" w:hAnsi="Times New Roman"/>
          <w:sz w:val="28"/>
          <w:szCs w:val="28"/>
        </w:rPr>
        <w:t xml:space="preserve">pieņem </w:t>
      </w:r>
      <w:r w:rsidRPr="00284378">
        <w:rPr>
          <w:rFonts w:ascii="Times New Roman" w:hAnsi="Times New Roman"/>
          <w:sz w:val="28"/>
          <w:szCs w:val="28"/>
        </w:rPr>
        <w:t>pēc attiecīga pieprasījuma saņemšanas;";</w:t>
      </w:r>
    </w:p>
    <w:p w:rsidR="00C30978" w:rsidRPr="00284378" w:rsidRDefault="00C30978" w:rsidP="00C30978">
      <w:pPr>
        <w:spacing w:after="0" w:line="240" w:lineRule="auto"/>
        <w:ind w:firstLine="720"/>
        <w:jc w:val="both"/>
        <w:rPr>
          <w:rFonts w:ascii="Times New Roman" w:hAnsi="Times New Roman"/>
          <w:sz w:val="28"/>
          <w:szCs w:val="28"/>
        </w:rPr>
      </w:pPr>
    </w:p>
    <w:p w:rsidR="00AE5F38" w:rsidRPr="00284378" w:rsidRDefault="00AE5F38" w:rsidP="00C30978">
      <w:pPr>
        <w:spacing w:after="0" w:line="240" w:lineRule="auto"/>
        <w:ind w:firstLine="720"/>
        <w:jc w:val="both"/>
        <w:rPr>
          <w:rFonts w:ascii="Times New Roman" w:hAnsi="Times New Roman"/>
          <w:sz w:val="28"/>
          <w:szCs w:val="28"/>
        </w:rPr>
      </w:pPr>
      <w:r w:rsidRPr="00284378">
        <w:rPr>
          <w:rFonts w:ascii="Times New Roman" w:hAnsi="Times New Roman"/>
          <w:sz w:val="28"/>
          <w:szCs w:val="28"/>
        </w:rPr>
        <w:t>1.2.</w:t>
      </w:r>
      <w:r w:rsidR="00A1098D" w:rsidRPr="00284378">
        <w:rPr>
          <w:rFonts w:ascii="Times New Roman" w:hAnsi="Times New Roman"/>
          <w:sz w:val="28"/>
          <w:szCs w:val="28"/>
        </w:rPr>
        <w:t> </w:t>
      </w:r>
      <w:r w:rsidRPr="00284378">
        <w:rPr>
          <w:rFonts w:ascii="Times New Roman" w:hAnsi="Times New Roman"/>
          <w:sz w:val="28"/>
          <w:szCs w:val="28"/>
        </w:rPr>
        <w:t>izteikt 4.17.</w:t>
      </w:r>
      <w:r w:rsidR="00E21C91" w:rsidRPr="00284378">
        <w:rPr>
          <w:rFonts w:ascii="Times New Roman" w:hAnsi="Times New Roman"/>
          <w:sz w:val="28"/>
          <w:szCs w:val="28"/>
        </w:rPr>
        <w:t> </w:t>
      </w:r>
      <w:r w:rsidRPr="00284378">
        <w:rPr>
          <w:rFonts w:ascii="Times New Roman" w:hAnsi="Times New Roman"/>
          <w:sz w:val="28"/>
          <w:szCs w:val="28"/>
        </w:rPr>
        <w:t>apakšpunktu šādā redakcijā:</w:t>
      </w:r>
    </w:p>
    <w:p w:rsidR="00AE5F38" w:rsidRPr="00284378" w:rsidRDefault="00AE5F38" w:rsidP="00C30978">
      <w:pPr>
        <w:spacing w:after="0" w:line="240" w:lineRule="auto"/>
        <w:ind w:firstLine="720"/>
        <w:jc w:val="both"/>
        <w:rPr>
          <w:rFonts w:ascii="Times New Roman" w:hAnsi="Times New Roman"/>
          <w:sz w:val="28"/>
          <w:szCs w:val="28"/>
        </w:rPr>
      </w:pPr>
    </w:p>
    <w:p w:rsidR="00AE5F38" w:rsidRPr="00284378" w:rsidRDefault="00E21C91" w:rsidP="00C30978">
      <w:pPr>
        <w:spacing w:after="0" w:line="240" w:lineRule="auto"/>
        <w:ind w:firstLine="720"/>
        <w:jc w:val="both"/>
        <w:rPr>
          <w:rFonts w:ascii="Times New Roman" w:hAnsi="Times New Roman"/>
          <w:sz w:val="28"/>
          <w:szCs w:val="28"/>
        </w:rPr>
      </w:pPr>
      <w:r w:rsidRPr="00284378">
        <w:rPr>
          <w:rFonts w:ascii="Times New Roman" w:hAnsi="Times New Roman"/>
          <w:sz w:val="28"/>
          <w:szCs w:val="28"/>
        </w:rPr>
        <w:t>"</w:t>
      </w:r>
      <w:r w:rsidR="00AE5F38" w:rsidRPr="00284378">
        <w:rPr>
          <w:rFonts w:ascii="Times New Roman" w:hAnsi="Times New Roman"/>
          <w:sz w:val="28"/>
          <w:szCs w:val="28"/>
        </w:rPr>
        <w:t>4.17.</w:t>
      </w:r>
      <w:r w:rsidRPr="00284378">
        <w:rPr>
          <w:rFonts w:ascii="Times New Roman" w:hAnsi="Times New Roman"/>
          <w:sz w:val="28"/>
          <w:szCs w:val="28"/>
        </w:rPr>
        <w:t> </w:t>
      </w:r>
      <w:r w:rsidR="00AE5F38" w:rsidRPr="00284378">
        <w:rPr>
          <w:rFonts w:ascii="Times New Roman" w:hAnsi="Times New Roman"/>
          <w:sz w:val="28"/>
          <w:szCs w:val="28"/>
        </w:rPr>
        <w:t>ar 2020.</w:t>
      </w:r>
      <w:r w:rsidRPr="00284378">
        <w:rPr>
          <w:rFonts w:ascii="Times New Roman" w:hAnsi="Times New Roman"/>
          <w:sz w:val="28"/>
          <w:szCs w:val="28"/>
        </w:rPr>
        <w:t> </w:t>
      </w:r>
      <w:r w:rsidR="00AE5F38" w:rsidRPr="00284378">
        <w:rPr>
          <w:rFonts w:ascii="Times New Roman" w:hAnsi="Times New Roman"/>
          <w:sz w:val="28"/>
          <w:szCs w:val="28"/>
        </w:rPr>
        <w:t>gada 17.</w:t>
      </w:r>
      <w:r w:rsidRPr="00284378">
        <w:rPr>
          <w:rFonts w:ascii="Times New Roman" w:hAnsi="Times New Roman"/>
          <w:sz w:val="28"/>
          <w:szCs w:val="28"/>
        </w:rPr>
        <w:t> </w:t>
      </w:r>
      <w:r w:rsidR="00AE5F38" w:rsidRPr="00284378">
        <w:rPr>
          <w:rFonts w:ascii="Times New Roman" w:hAnsi="Times New Roman"/>
          <w:sz w:val="28"/>
          <w:szCs w:val="28"/>
        </w:rPr>
        <w:t>martu aizliegt personu un transportlīdzekļu pārvietošanos caur lidostu, ostu, dzelzceļa un autoceļu Eiropas Savienības ārējās robežas robežšķērsošanas vietām, kā arī robežšķērsošanas vietās, kas paredzētas vietējai pierobežas satiksmei, izņemot kravu pārvadājumus. Atļaut ārlietu ministram vai Valsts robežsardzes priekšniekam izdarīt izņēmumus attiecībā uz personu un transportlīdzekļu pārvietošanos. Šī prasība neattiecas uz transporta un pasažieru pārvadājumu pakalpojumu sniedzēju darbiniekiem un pasažieru, kravas vai tehnisko reisu apkalpēm, kas ierodas Latvijas Republikā vai izbrauc no tās, pildot darba pienākumus, kā arī uz šā rīkojuma 4.16.</w:t>
      </w:r>
      <w:r w:rsidRPr="00284378">
        <w:rPr>
          <w:rFonts w:ascii="Times New Roman" w:hAnsi="Times New Roman"/>
          <w:sz w:val="28"/>
          <w:szCs w:val="28"/>
        </w:rPr>
        <w:t> </w:t>
      </w:r>
      <w:r w:rsidR="00AE5F38" w:rsidRPr="00284378">
        <w:rPr>
          <w:rFonts w:ascii="Times New Roman" w:hAnsi="Times New Roman"/>
          <w:sz w:val="28"/>
          <w:szCs w:val="28"/>
        </w:rPr>
        <w:t>apakšpunktā minētajiem pasažieriem</w:t>
      </w:r>
      <w:r w:rsidR="00284378" w:rsidRPr="00284378">
        <w:rPr>
          <w:rFonts w:ascii="Times New Roman" w:hAnsi="Times New Roman"/>
          <w:sz w:val="28"/>
          <w:szCs w:val="28"/>
        </w:rPr>
        <w:t xml:space="preserve"> </w:t>
      </w:r>
      <w:r w:rsidR="00F61411" w:rsidRPr="00284378">
        <w:rPr>
          <w:rFonts w:ascii="Times New Roman" w:hAnsi="Times New Roman"/>
          <w:sz w:val="28"/>
          <w:szCs w:val="28"/>
        </w:rPr>
        <w:t>(izņemot pasažier</w:t>
      </w:r>
      <w:r w:rsidR="00284378" w:rsidRPr="00284378">
        <w:rPr>
          <w:rFonts w:ascii="Times New Roman" w:hAnsi="Times New Roman"/>
          <w:sz w:val="28"/>
          <w:szCs w:val="28"/>
        </w:rPr>
        <w:t>us</w:t>
      </w:r>
      <w:r w:rsidR="00F61411" w:rsidRPr="00284378">
        <w:rPr>
          <w:rFonts w:ascii="Times New Roman" w:hAnsi="Times New Roman"/>
          <w:sz w:val="28"/>
          <w:szCs w:val="28"/>
        </w:rPr>
        <w:t xml:space="preserve">, kas ielido ar </w:t>
      </w:r>
      <w:r w:rsidR="00284378" w:rsidRPr="00284378">
        <w:rPr>
          <w:rFonts w:ascii="Times New Roman" w:hAnsi="Times New Roman"/>
          <w:sz w:val="28"/>
          <w:szCs w:val="28"/>
        </w:rPr>
        <w:t xml:space="preserve">šā rīkojuma </w:t>
      </w:r>
      <w:r w:rsidR="00F61411" w:rsidRPr="00284378">
        <w:rPr>
          <w:rFonts w:ascii="Times New Roman" w:hAnsi="Times New Roman"/>
          <w:sz w:val="28"/>
          <w:szCs w:val="28"/>
        </w:rPr>
        <w:t>4.16.</w:t>
      </w:r>
      <w:r w:rsidR="00284378" w:rsidRPr="00284378">
        <w:rPr>
          <w:rFonts w:ascii="Times New Roman" w:hAnsi="Times New Roman"/>
          <w:sz w:val="28"/>
          <w:szCs w:val="28"/>
        </w:rPr>
        <w:t> </w:t>
      </w:r>
      <w:r w:rsidR="00F61411" w:rsidRPr="00284378">
        <w:rPr>
          <w:rFonts w:ascii="Times New Roman" w:hAnsi="Times New Roman"/>
          <w:sz w:val="28"/>
          <w:szCs w:val="28"/>
        </w:rPr>
        <w:t>apakšpunktā minētajiem privāt</w:t>
      </w:r>
      <w:r w:rsidR="00284378" w:rsidRPr="00284378">
        <w:rPr>
          <w:rFonts w:ascii="Times New Roman" w:hAnsi="Times New Roman"/>
          <w:sz w:val="28"/>
          <w:szCs w:val="28"/>
        </w:rPr>
        <w:t>aj</w:t>
      </w:r>
      <w:r w:rsidR="00F61411" w:rsidRPr="00284378">
        <w:rPr>
          <w:rFonts w:ascii="Times New Roman" w:hAnsi="Times New Roman"/>
          <w:sz w:val="28"/>
          <w:szCs w:val="28"/>
        </w:rPr>
        <w:t xml:space="preserve">iem un biznesa </w:t>
      </w:r>
      <w:r w:rsidR="00284378" w:rsidRPr="00284378">
        <w:rPr>
          <w:rFonts w:ascii="Times New Roman" w:hAnsi="Times New Roman"/>
          <w:sz w:val="28"/>
          <w:szCs w:val="28"/>
        </w:rPr>
        <w:t>reis</w:t>
      </w:r>
      <w:r w:rsidR="00F61411" w:rsidRPr="00284378">
        <w:rPr>
          <w:rFonts w:ascii="Times New Roman" w:hAnsi="Times New Roman"/>
          <w:sz w:val="28"/>
          <w:szCs w:val="28"/>
        </w:rPr>
        <w:t>iem (ne vairāk par pieciem pasažieriem))</w:t>
      </w:r>
      <w:r w:rsidR="00AE5F38" w:rsidRPr="00284378">
        <w:rPr>
          <w:rFonts w:ascii="Times New Roman" w:hAnsi="Times New Roman"/>
          <w:sz w:val="28"/>
          <w:szCs w:val="28"/>
        </w:rPr>
        <w:t xml:space="preserve"> un jūrniekiem, lai viņi varētu atgriezties Latvijā vai nokļūt savā darbavietā uz kuģa, kā arī uz ārzemniekiem, kuru ievešanas nepieciešamību Latvijā komersantu saistību izpildei apliecinājusi Latvijas Investīciju un attīstības aģentūra;</w:t>
      </w:r>
      <w:r w:rsidRPr="00284378">
        <w:rPr>
          <w:rFonts w:ascii="Times New Roman" w:hAnsi="Times New Roman"/>
          <w:sz w:val="28"/>
          <w:szCs w:val="28"/>
        </w:rPr>
        <w:t>";</w:t>
      </w:r>
    </w:p>
    <w:p w:rsidR="00AE5F38" w:rsidRPr="00284378" w:rsidRDefault="00AE5F38" w:rsidP="00C30978">
      <w:pPr>
        <w:spacing w:after="0" w:line="240" w:lineRule="auto"/>
        <w:ind w:firstLine="720"/>
        <w:jc w:val="both"/>
        <w:rPr>
          <w:rFonts w:ascii="Times New Roman" w:hAnsi="Times New Roman"/>
          <w:sz w:val="28"/>
          <w:szCs w:val="28"/>
        </w:rPr>
      </w:pPr>
    </w:p>
    <w:p w:rsidR="00C30978" w:rsidRPr="00284378" w:rsidRDefault="00C30978" w:rsidP="00C30978">
      <w:pPr>
        <w:spacing w:after="0" w:line="240" w:lineRule="auto"/>
        <w:ind w:firstLine="720"/>
        <w:jc w:val="both"/>
        <w:rPr>
          <w:rFonts w:ascii="Times New Roman" w:hAnsi="Times New Roman"/>
          <w:sz w:val="28"/>
          <w:szCs w:val="28"/>
        </w:rPr>
      </w:pPr>
      <w:r w:rsidRPr="00284378">
        <w:rPr>
          <w:rFonts w:ascii="Times New Roman" w:hAnsi="Times New Roman"/>
          <w:sz w:val="28"/>
          <w:szCs w:val="28"/>
        </w:rPr>
        <w:t>1.</w:t>
      </w:r>
      <w:r w:rsidR="00AE5F38" w:rsidRPr="00284378">
        <w:rPr>
          <w:rFonts w:ascii="Times New Roman" w:hAnsi="Times New Roman"/>
          <w:sz w:val="28"/>
          <w:szCs w:val="28"/>
        </w:rPr>
        <w:t>3</w:t>
      </w:r>
      <w:r w:rsidRPr="00284378">
        <w:rPr>
          <w:rFonts w:ascii="Times New Roman" w:hAnsi="Times New Roman"/>
          <w:sz w:val="28"/>
          <w:szCs w:val="28"/>
        </w:rPr>
        <w:t>.</w:t>
      </w:r>
      <w:r w:rsidR="00A1098D" w:rsidRPr="00284378">
        <w:rPr>
          <w:rFonts w:ascii="Times New Roman" w:hAnsi="Times New Roman"/>
          <w:sz w:val="28"/>
          <w:szCs w:val="28"/>
        </w:rPr>
        <w:t> </w:t>
      </w:r>
      <w:r w:rsidRPr="00284378">
        <w:rPr>
          <w:rFonts w:ascii="Times New Roman" w:hAnsi="Times New Roman"/>
          <w:sz w:val="28"/>
          <w:szCs w:val="28"/>
        </w:rPr>
        <w:t>papildināt rīkojumu 4.30.</w:t>
      </w:r>
      <w:r w:rsidRPr="00284378">
        <w:rPr>
          <w:rFonts w:ascii="Times New Roman" w:hAnsi="Times New Roman"/>
          <w:sz w:val="28"/>
          <w:szCs w:val="28"/>
          <w:vertAlign w:val="superscript"/>
        </w:rPr>
        <w:t>2</w:t>
      </w:r>
      <w:r w:rsidR="00E21C91" w:rsidRPr="00284378">
        <w:rPr>
          <w:rFonts w:ascii="Times New Roman" w:hAnsi="Times New Roman"/>
          <w:sz w:val="28"/>
          <w:szCs w:val="28"/>
        </w:rPr>
        <w:t> </w:t>
      </w:r>
      <w:r w:rsidRPr="00284378">
        <w:rPr>
          <w:rFonts w:ascii="Times New Roman" w:hAnsi="Times New Roman"/>
          <w:sz w:val="28"/>
          <w:szCs w:val="28"/>
        </w:rPr>
        <w:t>apakšpunktu šādā redakcijā:</w:t>
      </w:r>
    </w:p>
    <w:p w:rsidR="00C30978" w:rsidRPr="00284378" w:rsidRDefault="00C30978" w:rsidP="003E6575">
      <w:pPr>
        <w:spacing w:after="0" w:line="240" w:lineRule="auto"/>
        <w:ind w:firstLine="709"/>
        <w:jc w:val="both"/>
        <w:rPr>
          <w:rFonts w:ascii="Times New Roman" w:hAnsi="Times New Roman"/>
          <w:sz w:val="28"/>
          <w:szCs w:val="28"/>
        </w:rPr>
      </w:pPr>
    </w:p>
    <w:p w:rsidR="002E0483" w:rsidRPr="00284378" w:rsidRDefault="005C38C1" w:rsidP="003E6575">
      <w:pPr>
        <w:spacing w:after="0" w:line="240" w:lineRule="auto"/>
        <w:ind w:firstLine="709"/>
        <w:jc w:val="both"/>
        <w:rPr>
          <w:rFonts w:ascii="Times New Roman" w:hAnsi="Times New Roman"/>
          <w:sz w:val="28"/>
          <w:szCs w:val="28"/>
        </w:rPr>
      </w:pPr>
      <w:r w:rsidRPr="00284378">
        <w:rPr>
          <w:rFonts w:ascii="Times New Roman" w:hAnsi="Times New Roman"/>
          <w:sz w:val="28"/>
          <w:szCs w:val="28"/>
        </w:rPr>
        <w:t>"4.30.</w:t>
      </w:r>
      <w:r w:rsidRPr="00284378">
        <w:rPr>
          <w:rFonts w:ascii="Times New Roman" w:hAnsi="Times New Roman"/>
          <w:sz w:val="28"/>
          <w:szCs w:val="28"/>
          <w:vertAlign w:val="superscript"/>
        </w:rPr>
        <w:t>2</w:t>
      </w:r>
      <w:r w:rsidR="00E21C91" w:rsidRPr="00284378">
        <w:rPr>
          <w:rFonts w:ascii="Times New Roman" w:hAnsi="Times New Roman"/>
          <w:sz w:val="28"/>
          <w:szCs w:val="28"/>
        </w:rPr>
        <w:t> </w:t>
      </w:r>
      <w:r w:rsidR="006C30C5" w:rsidRPr="006C30C5">
        <w:rPr>
          <w:rFonts w:ascii="Times New Roman" w:hAnsi="Times New Roman"/>
          <w:sz w:val="28"/>
          <w:szCs w:val="28"/>
        </w:rPr>
        <w:t xml:space="preserve">ņemot vērā Covid-19 izplatības ierobežošanai noteiktos pasākumus un </w:t>
      </w:r>
      <w:r w:rsidR="00E21C91" w:rsidRPr="006C30C5">
        <w:rPr>
          <w:rFonts w:ascii="Times New Roman" w:hAnsi="Times New Roman"/>
          <w:sz w:val="28"/>
          <w:szCs w:val="28"/>
        </w:rPr>
        <w:t>lai</w:t>
      </w:r>
      <w:r w:rsidRPr="006C30C5">
        <w:rPr>
          <w:rFonts w:ascii="Times New Roman" w:hAnsi="Times New Roman"/>
          <w:sz w:val="28"/>
          <w:szCs w:val="28"/>
        </w:rPr>
        <w:t xml:space="preserve"> nodrošinā</w:t>
      </w:r>
      <w:r w:rsidRPr="00284378">
        <w:rPr>
          <w:rFonts w:ascii="Times New Roman" w:hAnsi="Times New Roman"/>
          <w:sz w:val="28"/>
          <w:szCs w:val="28"/>
        </w:rPr>
        <w:t>t</w:t>
      </w:r>
      <w:r w:rsidR="00E21C91" w:rsidRPr="00284378">
        <w:rPr>
          <w:rFonts w:ascii="Times New Roman" w:hAnsi="Times New Roman"/>
          <w:sz w:val="28"/>
          <w:szCs w:val="28"/>
        </w:rPr>
        <w:t>u</w:t>
      </w:r>
      <w:r w:rsidRPr="00284378">
        <w:rPr>
          <w:rFonts w:ascii="Times New Roman" w:hAnsi="Times New Roman"/>
          <w:sz w:val="28"/>
          <w:szCs w:val="28"/>
        </w:rPr>
        <w:t xml:space="preserve"> oficiālo statistiku par darbaspēku (</w:t>
      </w:r>
      <w:r w:rsidR="00A44C05" w:rsidRPr="00284378">
        <w:rPr>
          <w:rFonts w:ascii="Times New Roman" w:hAnsi="Times New Roman"/>
          <w:sz w:val="28"/>
          <w:szCs w:val="28"/>
        </w:rPr>
        <w:t>d</w:t>
      </w:r>
      <w:r w:rsidRPr="00284378">
        <w:rPr>
          <w:rFonts w:ascii="Times New Roman" w:hAnsi="Times New Roman"/>
          <w:sz w:val="28"/>
          <w:szCs w:val="28"/>
        </w:rPr>
        <w:t>arbaspēka apsekojums), ienākumiem un dzīves apstākļiem (EU-SILC apsekojums)</w:t>
      </w:r>
      <w:r w:rsidR="00E21C91" w:rsidRPr="00284378">
        <w:rPr>
          <w:rFonts w:ascii="Times New Roman" w:hAnsi="Times New Roman"/>
          <w:sz w:val="28"/>
          <w:szCs w:val="28"/>
        </w:rPr>
        <w:t>,</w:t>
      </w:r>
      <w:r w:rsidRPr="00284378">
        <w:rPr>
          <w:rFonts w:ascii="Times New Roman" w:hAnsi="Times New Roman"/>
          <w:sz w:val="28"/>
          <w:szCs w:val="28"/>
        </w:rPr>
        <w:t xml:space="preserve"> </w:t>
      </w:r>
      <w:r w:rsidR="00E21C91" w:rsidRPr="00284378">
        <w:rPr>
          <w:rFonts w:ascii="Times New Roman" w:hAnsi="Times New Roman"/>
          <w:sz w:val="28"/>
          <w:szCs w:val="28"/>
        </w:rPr>
        <w:t>kā arī</w:t>
      </w:r>
      <w:r w:rsidRPr="00284378">
        <w:rPr>
          <w:rFonts w:ascii="Times New Roman" w:hAnsi="Times New Roman"/>
          <w:sz w:val="28"/>
          <w:szCs w:val="28"/>
        </w:rPr>
        <w:t xml:space="preserve"> interneta lietošanu (IKT apsekojums), </w:t>
      </w:r>
      <w:r w:rsidR="00E21C91" w:rsidRPr="00284378">
        <w:rPr>
          <w:rFonts w:ascii="Times New Roman" w:hAnsi="Times New Roman"/>
          <w:sz w:val="28"/>
          <w:szCs w:val="28"/>
        </w:rPr>
        <w:t>valsts akciju sabiedrībai</w:t>
      </w:r>
      <w:r w:rsidRPr="00284378">
        <w:rPr>
          <w:rFonts w:ascii="Times New Roman" w:hAnsi="Times New Roman"/>
          <w:sz w:val="28"/>
          <w:szCs w:val="28"/>
        </w:rPr>
        <w:t xml:space="preserve"> "Ceļu satiksmes drošības direkcija", Pilsonības un migrācijas lietu pārvaldei un Valsts ieņēmumu dienestam ir pienākums pēc Centrālās statistikas pārvaldes pieprasījuma sniegt </w:t>
      </w:r>
      <w:r w:rsidR="00E21C91" w:rsidRPr="00284378">
        <w:rPr>
          <w:rFonts w:ascii="Times New Roman" w:hAnsi="Times New Roman"/>
          <w:sz w:val="28"/>
          <w:szCs w:val="28"/>
        </w:rPr>
        <w:t>to</w:t>
      </w:r>
      <w:r w:rsidRPr="00284378">
        <w:rPr>
          <w:rFonts w:ascii="Times New Roman" w:hAnsi="Times New Roman"/>
          <w:sz w:val="28"/>
          <w:szCs w:val="28"/>
        </w:rPr>
        <w:t xml:space="preserve"> rīcībā esošo informāciju par fizisko personu kontakttālruņiem un e-pasta adresēm atbilstoši Centrālās statistikas pārvaldes sagatavotajam fizisko personu apsekojumu izlašu sarakstam;";</w:t>
      </w:r>
    </w:p>
    <w:p w:rsidR="00382522" w:rsidRPr="00284378" w:rsidRDefault="00382522" w:rsidP="003E6575">
      <w:pPr>
        <w:spacing w:after="0" w:line="240" w:lineRule="auto"/>
        <w:ind w:firstLine="709"/>
        <w:jc w:val="both"/>
        <w:rPr>
          <w:rFonts w:ascii="Times New Roman" w:hAnsi="Times New Roman"/>
          <w:sz w:val="28"/>
          <w:szCs w:val="28"/>
        </w:rPr>
      </w:pPr>
    </w:p>
    <w:p w:rsidR="00382522" w:rsidRPr="00284378" w:rsidRDefault="00382522" w:rsidP="003E6575">
      <w:pPr>
        <w:spacing w:after="0" w:line="240" w:lineRule="auto"/>
        <w:ind w:firstLine="709"/>
        <w:jc w:val="both"/>
        <w:rPr>
          <w:rFonts w:ascii="Times New Roman" w:hAnsi="Times New Roman"/>
          <w:sz w:val="28"/>
          <w:szCs w:val="28"/>
        </w:rPr>
      </w:pPr>
      <w:r w:rsidRPr="00284378">
        <w:rPr>
          <w:rFonts w:ascii="Times New Roman" w:hAnsi="Times New Roman"/>
          <w:sz w:val="28"/>
          <w:szCs w:val="28"/>
        </w:rPr>
        <w:t>1.</w:t>
      </w:r>
      <w:r w:rsidR="00AE5F38" w:rsidRPr="00284378">
        <w:rPr>
          <w:rFonts w:ascii="Times New Roman" w:hAnsi="Times New Roman"/>
          <w:sz w:val="28"/>
          <w:szCs w:val="28"/>
        </w:rPr>
        <w:t>4</w:t>
      </w:r>
      <w:r w:rsidR="002E0483" w:rsidRPr="00284378">
        <w:rPr>
          <w:rFonts w:ascii="Times New Roman" w:hAnsi="Times New Roman"/>
          <w:sz w:val="28"/>
          <w:szCs w:val="28"/>
        </w:rPr>
        <w:t>.</w:t>
      </w:r>
      <w:r w:rsidR="00E21C91" w:rsidRPr="00284378">
        <w:rPr>
          <w:rFonts w:ascii="Times New Roman" w:hAnsi="Times New Roman"/>
          <w:sz w:val="28"/>
          <w:szCs w:val="28"/>
        </w:rPr>
        <w:t> </w:t>
      </w:r>
      <w:r w:rsidR="005C38C1" w:rsidRPr="00284378">
        <w:rPr>
          <w:rFonts w:ascii="Times New Roman" w:hAnsi="Times New Roman"/>
          <w:sz w:val="28"/>
          <w:szCs w:val="28"/>
        </w:rPr>
        <w:t>papildināt</w:t>
      </w:r>
      <w:r w:rsidRPr="00284378">
        <w:rPr>
          <w:rFonts w:ascii="Times New Roman" w:hAnsi="Times New Roman"/>
          <w:sz w:val="28"/>
          <w:szCs w:val="28"/>
        </w:rPr>
        <w:t xml:space="preserve"> rīkojum</w:t>
      </w:r>
      <w:r w:rsidR="005C38C1" w:rsidRPr="00284378">
        <w:rPr>
          <w:rFonts w:ascii="Times New Roman" w:hAnsi="Times New Roman"/>
          <w:sz w:val="28"/>
          <w:szCs w:val="28"/>
        </w:rPr>
        <w:t>u</w:t>
      </w:r>
      <w:r w:rsidRPr="00284378">
        <w:rPr>
          <w:rFonts w:ascii="Times New Roman" w:hAnsi="Times New Roman"/>
          <w:sz w:val="28"/>
          <w:szCs w:val="28"/>
        </w:rPr>
        <w:t xml:space="preserve"> ar 4.</w:t>
      </w:r>
      <w:r w:rsidR="005C38C1" w:rsidRPr="00284378">
        <w:rPr>
          <w:rFonts w:ascii="Times New Roman" w:hAnsi="Times New Roman"/>
          <w:sz w:val="28"/>
          <w:szCs w:val="28"/>
        </w:rPr>
        <w:t>62</w:t>
      </w:r>
      <w:r w:rsidRPr="00284378">
        <w:rPr>
          <w:rFonts w:ascii="Times New Roman" w:hAnsi="Times New Roman"/>
          <w:sz w:val="28"/>
          <w:szCs w:val="28"/>
        </w:rPr>
        <w:t>.</w:t>
      </w:r>
      <w:r w:rsidR="00B44EFD" w:rsidRPr="00284378">
        <w:rPr>
          <w:rFonts w:ascii="Times New Roman" w:hAnsi="Times New Roman"/>
          <w:sz w:val="28"/>
          <w:szCs w:val="28"/>
        </w:rPr>
        <w:t>, 4.63. un 4.64.</w:t>
      </w:r>
      <w:r w:rsidR="00956B47" w:rsidRPr="00284378">
        <w:rPr>
          <w:rFonts w:ascii="Times New Roman" w:hAnsi="Times New Roman"/>
          <w:sz w:val="28"/>
          <w:szCs w:val="28"/>
        </w:rPr>
        <w:t> </w:t>
      </w:r>
      <w:r w:rsidR="002E0483" w:rsidRPr="00284378">
        <w:rPr>
          <w:rFonts w:ascii="Times New Roman" w:hAnsi="Times New Roman"/>
          <w:sz w:val="28"/>
          <w:szCs w:val="28"/>
        </w:rPr>
        <w:t>apakš</w:t>
      </w:r>
      <w:r w:rsidRPr="00284378">
        <w:rPr>
          <w:rFonts w:ascii="Times New Roman" w:hAnsi="Times New Roman"/>
          <w:sz w:val="28"/>
          <w:szCs w:val="28"/>
        </w:rPr>
        <w:t xml:space="preserve">punktu šādā redakcijā: </w:t>
      </w:r>
    </w:p>
    <w:p w:rsidR="005C38C1" w:rsidRPr="00284378" w:rsidRDefault="005C38C1" w:rsidP="005C38C1">
      <w:pPr>
        <w:spacing w:after="0" w:line="240" w:lineRule="auto"/>
        <w:rPr>
          <w:rFonts w:ascii="Times New Roman" w:hAnsi="Times New Roman"/>
          <w:sz w:val="28"/>
          <w:szCs w:val="28"/>
        </w:rPr>
      </w:pPr>
    </w:p>
    <w:p w:rsidR="005C38C1" w:rsidRPr="00284378" w:rsidRDefault="005C38C1" w:rsidP="005C38C1">
      <w:pPr>
        <w:spacing w:after="0" w:line="240" w:lineRule="auto"/>
        <w:ind w:firstLine="709"/>
        <w:jc w:val="both"/>
        <w:rPr>
          <w:rFonts w:ascii="Times New Roman" w:hAnsi="Times New Roman"/>
          <w:sz w:val="28"/>
          <w:szCs w:val="28"/>
        </w:rPr>
      </w:pPr>
      <w:r w:rsidRPr="00284378">
        <w:rPr>
          <w:rFonts w:ascii="Times New Roman" w:hAnsi="Times New Roman"/>
          <w:sz w:val="28"/>
          <w:szCs w:val="28"/>
        </w:rPr>
        <w:t>"4.62.</w:t>
      </w:r>
      <w:r w:rsidR="00B90FCF" w:rsidRPr="00284378">
        <w:rPr>
          <w:rFonts w:ascii="Times New Roman" w:hAnsi="Times New Roman"/>
          <w:sz w:val="28"/>
          <w:szCs w:val="28"/>
        </w:rPr>
        <w:t> </w:t>
      </w:r>
      <w:r w:rsidR="00E21C91" w:rsidRPr="00284378">
        <w:rPr>
          <w:rFonts w:ascii="Times New Roman" w:hAnsi="Times New Roman"/>
          <w:sz w:val="28"/>
          <w:szCs w:val="28"/>
        </w:rPr>
        <w:t>l</w:t>
      </w:r>
      <w:r w:rsidRPr="00284378">
        <w:rPr>
          <w:rFonts w:ascii="Times New Roman" w:hAnsi="Times New Roman"/>
          <w:sz w:val="28"/>
          <w:szCs w:val="28"/>
        </w:rPr>
        <w:t>ai nodrošinātu ārstniecības personu pieejamību, ārstniecības iestāžu darbību un valsts apmaksāto veselības aprūpes pakalpojumu</w:t>
      </w:r>
      <w:r w:rsidR="00E83683">
        <w:rPr>
          <w:rFonts w:ascii="Times New Roman" w:hAnsi="Times New Roman"/>
          <w:sz w:val="28"/>
          <w:szCs w:val="28"/>
        </w:rPr>
        <w:t xml:space="preserve"> </w:t>
      </w:r>
      <w:r w:rsidR="00E83683" w:rsidRPr="00284378">
        <w:rPr>
          <w:rFonts w:ascii="Times New Roman" w:hAnsi="Times New Roman"/>
          <w:sz w:val="28"/>
          <w:szCs w:val="28"/>
        </w:rPr>
        <w:t>pieejamību</w:t>
      </w:r>
      <w:r w:rsidRPr="00284378">
        <w:rPr>
          <w:rFonts w:ascii="Times New Roman" w:hAnsi="Times New Roman"/>
          <w:sz w:val="28"/>
          <w:szCs w:val="28"/>
        </w:rPr>
        <w:t>:</w:t>
      </w:r>
    </w:p>
    <w:p w:rsidR="005C38C1" w:rsidRPr="00284378" w:rsidRDefault="005C38C1" w:rsidP="005C38C1">
      <w:pPr>
        <w:spacing w:after="0" w:line="240" w:lineRule="auto"/>
        <w:ind w:firstLine="709"/>
        <w:jc w:val="both"/>
        <w:rPr>
          <w:rFonts w:ascii="Times New Roman" w:hAnsi="Times New Roman"/>
          <w:sz w:val="28"/>
          <w:szCs w:val="28"/>
        </w:rPr>
      </w:pPr>
      <w:r w:rsidRPr="00284378">
        <w:rPr>
          <w:rFonts w:ascii="Times New Roman" w:hAnsi="Times New Roman"/>
          <w:sz w:val="28"/>
          <w:szCs w:val="28"/>
        </w:rPr>
        <w:t>4.62.1.</w:t>
      </w:r>
      <w:r w:rsidR="00E21C91" w:rsidRPr="00284378">
        <w:rPr>
          <w:rFonts w:ascii="Times New Roman" w:hAnsi="Times New Roman"/>
          <w:sz w:val="28"/>
          <w:szCs w:val="28"/>
        </w:rPr>
        <w:t> </w:t>
      </w:r>
      <w:r w:rsidRPr="00284378">
        <w:rPr>
          <w:rFonts w:ascii="Times New Roman" w:hAnsi="Times New Roman"/>
          <w:sz w:val="28"/>
          <w:szCs w:val="28"/>
        </w:rPr>
        <w:t xml:space="preserve">Nacionālajam veselības dienestam </w:t>
      </w:r>
      <w:r w:rsidR="00A1098D" w:rsidRPr="00284378">
        <w:rPr>
          <w:rFonts w:ascii="Times New Roman" w:hAnsi="Times New Roman"/>
          <w:sz w:val="28"/>
          <w:szCs w:val="28"/>
        </w:rPr>
        <w:t xml:space="preserve">par </w:t>
      </w:r>
      <w:r w:rsidRPr="00284378">
        <w:rPr>
          <w:rFonts w:ascii="Times New Roman" w:hAnsi="Times New Roman"/>
          <w:sz w:val="28"/>
          <w:szCs w:val="28"/>
        </w:rPr>
        <w:t>ārkārtējās situācijas laikā ārstniecības iestādes nesniegtajiem valsts apmaksātajiem veselības aprūpes pakalpojumiem – plānveida stacionārajiem veselības aprūpes pakalpojumiem, sekundārajiem ambulatorajiem veselības aprūpes pakalpojumiem, ambulatorajiem laboratoriskajiem veselības aprūpes pakalpojumiem un zobārstniecības pakalpojumiem, par kur</w:t>
      </w:r>
      <w:r w:rsidR="00B90FCF" w:rsidRPr="00284378">
        <w:rPr>
          <w:rFonts w:ascii="Times New Roman" w:hAnsi="Times New Roman"/>
          <w:sz w:val="28"/>
          <w:szCs w:val="28"/>
        </w:rPr>
        <w:t xml:space="preserve">u sniegšanu un apmaksu ir noslēgti līgumi </w:t>
      </w:r>
      <w:r w:rsidRPr="00284378">
        <w:rPr>
          <w:rFonts w:ascii="Times New Roman" w:hAnsi="Times New Roman"/>
          <w:sz w:val="28"/>
          <w:szCs w:val="28"/>
        </w:rPr>
        <w:t xml:space="preserve">ar Nacionālo veselības dienestu, bet pakalpojuma sniegšanai ir noteikti ierobežojumi vai </w:t>
      </w:r>
      <w:r w:rsidR="00B90FCF" w:rsidRPr="00284378">
        <w:rPr>
          <w:rFonts w:ascii="Times New Roman" w:hAnsi="Times New Roman"/>
          <w:sz w:val="28"/>
          <w:szCs w:val="28"/>
        </w:rPr>
        <w:t>tā</w:t>
      </w:r>
      <w:r w:rsidRPr="00284378">
        <w:rPr>
          <w:rFonts w:ascii="Times New Roman" w:hAnsi="Times New Roman"/>
          <w:sz w:val="28"/>
          <w:szCs w:val="28"/>
        </w:rPr>
        <w:t xml:space="preserve"> sniegšana ir apgrūtināta, </w:t>
      </w:r>
      <w:r w:rsidR="00E21C91" w:rsidRPr="00284378">
        <w:rPr>
          <w:rFonts w:ascii="Times New Roman" w:hAnsi="Times New Roman"/>
          <w:sz w:val="28"/>
          <w:szCs w:val="28"/>
        </w:rPr>
        <w:t>–</w:t>
      </w:r>
      <w:r w:rsidR="00B90FCF" w:rsidRPr="00284378">
        <w:rPr>
          <w:rFonts w:ascii="Times New Roman" w:hAnsi="Times New Roman"/>
          <w:sz w:val="28"/>
          <w:szCs w:val="28"/>
        </w:rPr>
        <w:t xml:space="preserve"> </w:t>
      </w:r>
      <w:r w:rsidRPr="00284378">
        <w:rPr>
          <w:rFonts w:ascii="Times New Roman" w:hAnsi="Times New Roman"/>
          <w:sz w:val="28"/>
          <w:szCs w:val="28"/>
        </w:rPr>
        <w:t xml:space="preserve">izmaksāt kompensācijas maksājumu gatavības režīma nodrošināšanai </w:t>
      </w:r>
      <w:r w:rsidR="00E21C91" w:rsidRPr="00284378">
        <w:rPr>
          <w:rFonts w:ascii="Times New Roman" w:hAnsi="Times New Roman"/>
          <w:sz w:val="28"/>
          <w:szCs w:val="28"/>
        </w:rPr>
        <w:t>–</w:t>
      </w:r>
      <w:r w:rsidRPr="00284378">
        <w:rPr>
          <w:rFonts w:ascii="Times New Roman" w:hAnsi="Times New Roman"/>
          <w:sz w:val="28"/>
          <w:szCs w:val="28"/>
        </w:rPr>
        <w:t xml:space="preserve"> pakalpojuma tarifa darba samaksas (D), valsts sociālās apdrošināšanas obligāt</w:t>
      </w:r>
      <w:r w:rsidR="00483292" w:rsidRPr="00284378">
        <w:rPr>
          <w:rFonts w:ascii="Times New Roman" w:hAnsi="Times New Roman"/>
          <w:sz w:val="28"/>
          <w:szCs w:val="28"/>
        </w:rPr>
        <w:t>o</w:t>
      </w:r>
      <w:r w:rsidRPr="00284378">
        <w:rPr>
          <w:rFonts w:ascii="Times New Roman" w:hAnsi="Times New Roman"/>
          <w:sz w:val="28"/>
          <w:szCs w:val="28"/>
        </w:rPr>
        <w:t xml:space="preserve"> iemaksu (S), pieskaitāmo un netiešo ražošanas izmaksu (U) un administratīvo izdevumu (A) elementu kopējo summu par ārstniecības iestādes nesniegtajiem valsts apmaksātajiem pakalpojumiem ārkārtējās situācijas laikā;</w:t>
      </w:r>
    </w:p>
    <w:p w:rsidR="005C38C1" w:rsidRPr="00284378" w:rsidRDefault="005C38C1" w:rsidP="005C38C1">
      <w:pPr>
        <w:spacing w:after="0" w:line="240" w:lineRule="auto"/>
        <w:ind w:firstLine="709"/>
        <w:jc w:val="both"/>
        <w:rPr>
          <w:rFonts w:ascii="Times New Roman" w:hAnsi="Times New Roman"/>
          <w:sz w:val="28"/>
          <w:szCs w:val="28"/>
        </w:rPr>
      </w:pPr>
      <w:r w:rsidRPr="00284378">
        <w:rPr>
          <w:rFonts w:ascii="Times New Roman" w:hAnsi="Times New Roman"/>
          <w:sz w:val="28"/>
          <w:szCs w:val="28"/>
        </w:rPr>
        <w:t>4.62.2.</w:t>
      </w:r>
      <w:r w:rsidR="00E21C91" w:rsidRPr="00284378">
        <w:rPr>
          <w:rFonts w:ascii="Times New Roman" w:hAnsi="Times New Roman"/>
          <w:sz w:val="28"/>
          <w:szCs w:val="28"/>
        </w:rPr>
        <w:t> </w:t>
      </w:r>
      <w:r w:rsidRPr="00284378">
        <w:rPr>
          <w:rFonts w:ascii="Times New Roman" w:hAnsi="Times New Roman"/>
          <w:sz w:val="28"/>
          <w:szCs w:val="28"/>
        </w:rPr>
        <w:t xml:space="preserve">kompensācijas maksājums gatavības režīma nodrošināšanai </w:t>
      </w:r>
      <w:r w:rsidR="00E21C91" w:rsidRPr="00284378">
        <w:rPr>
          <w:rFonts w:ascii="Times New Roman" w:hAnsi="Times New Roman"/>
          <w:sz w:val="28"/>
          <w:szCs w:val="28"/>
        </w:rPr>
        <w:t xml:space="preserve">ārstniecības iestādei </w:t>
      </w:r>
      <w:r w:rsidRPr="00284378">
        <w:rPr>
          <w:rFonts w:ascii="Times New Roman" w:hAnsi="Times New Roman"/>
          <w:sz w:val="28"/>
          <w:szCs w:val="28"/>
        </w:rPr>
        <w:t xml:space="preserve">tiek maksāts, ja ārstniecības iestādes faktiski sniegtais pakalpojumu apjoms ārkārtējās situācijas laikā (kopā ar iepriekšējos periodos sniegto neapmaksāto pakalpojumu apjomu) ir mazāks par </w:t>
      </w:r>
      <w:r w:rsidR="00E21C91" w:rsidRPr="00284378">
        <w:rPr>
          <w:rFonts w:ascii="Times New Roman" w:hAnsi="Times New Roman"/>
          <w:sz w:val="28"/>
          <w:szCs w:val="28"/>
        </w:rPr>
        <w:t xml:space="preserve">apjomu, kas attiecīgajam periodam </w:t>
      </w:r>
      <w:r w:rsidR="00B90FCF" w:rsidRPr="00284378">
        <w:rPr>
          <w:rFonts w:ascii="Times New Roman" w:hAnsi="Times New Roman"/>
          <w:sz w:val="28"/>
          <w:szCs w:val="28"/>
        </w:rPr>
        <w:t xml:space="preserve">tika paredzēts </w:t>
      </w:r>
      <w:r w:rsidRPr="00284378">
        <w:rPr>
          <w:rFonts w:ascii="Times New Roman" w:hAnsi="Times New Roman"/>
          <w:sz w:val="28"/>
          <w:szCs w:val="28"/>
        </w:rPr>
        <w:t>ar Nacionālo veselības dienestu noslēgtajā līgumā. Kompensācijas maksājums gatavības režīma nodrošināšanai ne</w:t>
      </w:r>
      <w:r w:rsidR="00D71782" w:rsidRPr="00284378">
        <w:rPr>
          <w:rFonts w:ascii="Times New Roman" w:hAnsi="Times New Roman"/>
          <w:sz w:val="28"/>
          <w:szCs w:val="28"/>
        </w:rPr>
        <w:t>paredz</w:t>
      </w:r>
      <w:r w:rsidRPr="00284378">
        <w:rPr>
          <w:rFonts w:ascii="Times New Roman" w:hAnsi="Times New Roman"/>
          <w:sz w:val="28"/>
          <w:szCs w:val="28"/>
        </w:rPr>
        <w:t xml:space="preserve"> pacientu līdzmaksājuma kompensēšanu;</w:t>
      </w:r>
    </w:p>
    <w:p w:rsidR="00CF39C1" w:rsidRPr="00284378" w:rsidRDefault="005C38C1" w:rsidP="005C38C1">
      <w:pPr>
        <w:spacing w:after="0" w:line="240" w:lineRule="auto"/>
        <w:ind w:firstLine="709"/>
        <w:jc w:val="both"/>
        <w:rPr>
          <w:rFonts w:ascii="Times New Roman" w:hAnsi="Times New Roman"/>
          <w:sz w:val="28"/>
          <w:szCs w:val="28"/>
        </w:rPr>
      </w:pPr>
      <w:r w:rsidRPr="00284378">
        <w:rPr>
          <w:rFonts w:ascii="Times New Roman" w:hAnsi="Times New Roman"/>
          <w:sz w:val="28"/>
          <w:szCs w:val="28"/>
        </w:rPr>
        <w:t>4.62.3.</w:t>
      </w:r>
      <w:r w:rsidR="0097648E" w:rsidRPr="00284378">
        <w:rPr>
          <w:rFonts w:ascii="Times New Roman" w:hAnsi="Times New Roman"/>
          <w:sz w:val="28"/>
          <w:szCs w:val="28"/>
        </w:rPr>
        <w:t> ā</w:t>
      </w:r>
      <w:r w:rsidRPr="00284378">
        <w:rPr>
          <w:rFonts w:ascii="Times New Roman" w:hAnsi="Times New Roman"/>
          <w:sz w:val="28"/>
          <w:szCs w:val="28"/>
        </w:rPr>
        <w:t xml:space="preserve">rstniecības iestāde no kompensācijas maksājuma gatavības režīma nodrošināšanai </w:t>
      </w:r>
      <w:r w:rsidR="0097648E" w:rsidRPr="00284378">
        <w:rPr>
          <w:rFonts w:ascii="Times New Roman" w:hAnsi="Times New Roman"/>
          <w:sz w:val="28"/>
          <w:szCs w:val="28"/>
        </w:rPr>
        <w:t xml:space="preserve">ir tiesīga segt </w:t>
      </w:r>
      <w:r w:rsidRPr="00284378">
        <w:rPr>
          <w:rFonts w:ascii="Times New Roman" w:hAnsi="Times New Roman"/>
          <w:sz w:val="28"/>
          <w:szCs w:val="28"/>
        </w:rPr>
        <w:t>tikai</w:t>
      </w:r>
      <w:r w:rsidR="0097648E" w:rsidRPr="00284378">
        <w:rPr>
          <w:rFonts w:ascii="Times New Roman" w:hAnsi="Times New Roman"/>
          <w:sz w:val="28"/>
          <w:szCs w:val="28"/>
        </w:rPr>
        <w:t xml:space="preserve"> tos izdevumus, kas saistīti ar</w:t>
      </w:r>
      <w:r w:rsidRPr="00284378">
        <w:rPr>
          <w:rFonts w:ascii="Times New Roman" w:hAnsi="Times New Roman"/>
          <w:sz w:val="28"/>
          <w:szCs w:val="28"/>
        </w:rPr>
        <w:t xml:space="preserve"> darba samaks</w:t>
      </w:r>
      <w:r w:rsidR="0097648E" w:rsidRPr="00284378">
        <w:rPr>
          <w:rFonts w:ascii="Times New Roman" w:hAnsi="Times New Roman"/>
          <w:sz w:val="28"/>
          <w:szCs w:val="28"/>
        </w:rPr>
        <w:t xml:space="preserve">u, </w:t>
      </w:r>
      <w:r w:rsidRPr="00284378">
        <w:rPr>
          <w:rFonts w:ascii="Times New Roman" w:hAnsi="Times New Roman"/>
          <w:sz w:val="28"/>
          <w:szCs w:val="28"/>
        </w:rPr>
        <w:t>valsts sociālās apdrošināšanas obligāt</w:t>
      </w:r>
      <w:r w:rsidR="003C6D18" w:rsidRPr="00284378">
        <w:rPr>
          <w:rFonts w:ascii="Times New Roman" w:hAnsi="Times New Roman"/>
          <w:sz w:val="28"/>
          <w:szCs w:val="28"/>
        </w:rPr>
        <w:t>ajām</w:t>
      </w:r>
      <w:r w:rsidRPr="00284378">
        <w:rPr>
          <w:rFonts w:ascii="Times New Roman" w:hAnsi="Times New Roman"/>
          <w:sz w:val="28"/>
          <w:szCs w:val="28"/>
        </w:rPr>
        <w:t xml:space="preserve"> iemaks</w:t>
      </w:r>
      <w:r w:rsidR="003C6D18" w:rsidRPr="00284378">
        <w:rPr>
          <w:rFonts w:ascii="Times New Roman" w:hAnsi="Times New Roman"/>
          <w:sz w:val="28"/>
          <w:szCs w:val="28"/>
        </w:rPr>
        <w:t>ām</w:t>
      </w:r>
      <w:r w:rsidRPr="00284378">
        <w:rPr>
          <w:rFonts w:ascii="Times New Roman" w:hAnsi="Times New Roman"/>
          <w:sz w:val="28"/>
          <w:szCs w:val="28"/>
        </w:rPr>
        <w:t>, pieskaitām</w:t>
      </w:r>
      <w:r w:rsidR="00A1098D" w:rsidRPr="00284378">
        <w:rPr>
          <w:rFonts w:ascii="Times New Roman" w:hAnsi="Times New Roman"/>
          <w:sz w:val="28"/>
          <w:szCs w:val="28"/>
        </w:rPr>
        <w:t>ajām</w:t>
      </w:r>
      <w:r w:rsidRPr="00284378">
        <w:rPr>
          <w:rFonts w:ascii="Times New Roman" w:hAnsi="Times New Roman"/>
          <w:sz w:val="28"/>
          <w:szCs w:val="28"/>
        </w:rPr>
        <w:t xml:space="preserve"> un netieš</w:t>
      </w:r>
      <w:r w:rsidR="00A1098D" w:rsidRPr="00284378">
        <w:rPr>
          <w:rFonts w:ascii="Times New Roman" w:hAnsi="Times New Roman"/>
          <w:sz w:val="28"/>
          <w:szCs w:val="28"/>
        </w:rPr>
        <w:t>ajām</w:t>
      </w:r>
      <w:r w:rsidRPr="00284378">
        <w:rPr>
          <w:rFonts w:ascii="Times New Roman" w:hAnsi="Times New Roman"/>
          <w:sz w:val="28"/>
          <w:szCs w:val="28"/>
        </w:rPr>
        <w:t xml:space="preserve"> ražošanas izmaks</w:t>
      </w:r>
      <w:r w:rsidR="003C6D18" w:rsidRPr="00284378">
        <w:rPr>
          <w:rFonts w:ascii="Times New Roman" w:hAnsi="Times New Roman"/>
          <w:sz w:val="28"/>
          <w:szCs w:val="28"/>
        </w:rPr>
        <w:t>ām</w:t>
      </w:r>
      <w:r w:rsidRPr="00284378">
        <w:rPr>
          <w:rFonts w:ascii="Times New Roman" w:hAnsi="Times New Roman"/>
          <w:sz w:val="28"/>
          <w:szCs w:val="28"/>
        </w:rPr>
        <w:t xml:space="preserve"> un administratīv</w:t>
      </w:r>
      <w:r w:rsidR="003C6D18" w:rsidRPr="00284378">
        <w:rPr>
          <w:rFonts w:ascii="Times New Roman" w:hAnsi="Times New Roman"/>
          <w:sz w:val="28"/>
          <w:szCs w:val="28"/>
        </w:rPr>
        <w:t>ajām</w:t>
      </w:r>
      <w:r w:rsidRPr="00284378">
        <w:rPr>
          <w:rFonts w:ascii="Times New Roman" w:hAnsi="Times New Roman"/>
          <w:sz w:val="28"/>
          <w:szCs w:val="28"/>
        </w:rPr>
        <w:t xml:space="preserve"> izmaks</w:t>
      </w:r>
      <w:r w:rsidR="003C6D18" w:rsidRPr="00284378">
        <w:rPr>
          <w:rFonts w:ascii="Times New Roman" w:hAnsi="Times New Roman"/>
          <w:sz w:val="28"/>
          <w:szCs w:val="28"/>
        </w:rPr>
        <w:t>ām</w:t>
      </w:r>
      <w:r w:rsidR="00B44EFD" w:rsidRPr="00284378">
        <w:rPr>
          <w:rFonts w:ascii="Times New Roman" w:hAnsi="Times New Roman"/>
          <w:sz w:val="28"/>
          <w:szCs w:val="28"/>
        </w:rPr>
        <w:t>;</w:t>
      </w:r>
    </w:p>
    <w:p w:rsidR="00B44EFD" w:rsidRPr="00284378" w:rsidRDefault="00B44EFD" w:rsidP="00B44EFD">
      <w:pPr>
        <w:spacing w:after="0" w:line="240" w:lineRule="auto"/>
        <w:ind w:firstLine="709"/>
        <w:jc w:val="both"/>
        <w:rPr>
          <w:rFonts w:ascii="Times New Roman" w:hAnsi="Times New Roman"/>
          <w:sz w:val="28"/>
          <w:szCs w:val="28"/>
        </w:rPr>
      </w:pPr>
      <w:r w:rsidRPr="00284378">
        <w:rPr>
          <w:rFonts w:ascii="Times New Roman" w:hAnsi="Times New Roman"/>
          <w:sz w:val="28"/>
          <w:szCs w:val="28"/>
        </w:rPr>
        <w:t>4.63. atļaut Aizsardzības ministrijai</w:t>
      </w:r>
      <w:r w:rsidR="004B625E" w:rsidRPr="00284378">
        <w:rPr>
          <w:rFonts w:ascii="Times New Roman" w:hAnsi="Times New Roman"/>
          <w:sz w:val="28"/>
          <w:szCs w:val="28"/>
        </w:rPr>
        <w:t>, nepiemērojot mantas atsavināšanas procedūru – pārdošana izsolē,</w:t>
      </w:r>
      <w:r w:rsidRPr="00284378">
        <w:rPr>
          <w:rFonts w:ascii="Times New Roman" w:hAnsi="Times New Roman"/>
          <w:sz w:val="28"/>
          <w:szCs w:val="28"/>
        </w:rPr>
        <w:t xml:space="preserve"> </w:t>
      </w:r>
      <w:r w:rsidR="004B625E" w:rsidRPr="00284378">
        <w:rPr>
          <w:rFonts w:ascii="Times New Roman" w:hAnsi="Times New Roman"/>
          <w:sz w:val="28"/>
          <w:szCs w:val="28"/>
        </w:rPr>
        <w:t xml:space="preserve">par iegādes cenu atsavināt </w:t>
      </w:r>
      <w:r w:rsidRPr="00284378">
        <w:rPr>
          <w:rFonts w:ascii="Times New Roman" w:hAnsi="Times New Roman"/>
          <w:sz w:val="28"/>
          <w:szCs w:val="28"/>
        </w:rPr>
        <w:t>iegādātos individuālos aizsarglīdzekļus un dezinfekcijas līdzekļus sabiedroto valstu bruņotajiem spēkiem C</w:t>
      </w:r>
      <w:r w:rsidR="0065317B" w:rsidRPr="00284378">
        <w:rPr>
          <w:rFonts w:ascii="Times New Roman" w:hAnsi="Times New Roman"/>
          <w:sz w:val="28"/>
          <w:szCs w:val="28"/>
        </w:rPr>
        <w:t>ovid</w:t>
      </w:r>
      <w:r w:rsidRPr="00284378">
        <w:rPr>
          <w:rFonts w:ascii="Times New Roman" w:hAnsi="Times New Roman"/>
          <w:sz w:val="28"/>
          <w:szCs w:val="28"/>
        </w:rPr>
        <w:t>-19 uzliesmojuma izplatības ierobežošanai un seku apkarošanai</w:t>
      </w:r>
      <w:r w:rsidR="00B979E2">
        <w:rPr>
          <w:rFonts w:ascii="Times New Roman" w:hAnsi="Times New Roman"/>
          <w:sz w:val="28"/>
          <w:szCs w:val="28"/>
        </w:rPr>
        <w:t>;</w:t>
      </w:r>
      <w:r w:rsidRPr="00284378">
        <w:rPr>
          <w:rFonts w:ascii="Times New Roman" w:hAnsi="Times New Roman"/>
          <w:sz w:val="28"/>
          <w:szCs w:val="28"/>
        </w:rPr>
        <w:t xml:space="preserve"> </w:t>
      </w:r>
    </w:p>
    <w:p w:rsidR="00B44EFD" w:rsidRPr="00284378" w:rsidRDefault="00B44EFD" w:rsidP="00B44EFD">
      <w:pPr>
        <w:spacing w:after="0" w:line="240" w:lineRule="auto"/>
        <w:ind w:firstLine="709"/>
        <w:jc w:val="both"/>
        <w:rPr>
          <w:rFonts w:ascii="Times New Roman" w:hAnsi="Times New Roman"/>
          <w:sz w:val="28"/>
          <w:szCs w:val="28"/>
        </w:rPr>
      </w:pPr>
      <w:r w:rsidRPr="00284378">
        <w:rPr>
          <w:rFonts w:ascii="Times New Roman" w:hAnsi="Times New Roman"/>
          <w:sz w:val="28"/>
          <w:szCs w:val="28"/>
        </w:rPr>
        <w:lastRenderedPageBreak/>
        <w:t xml:space="preserve">4.64. Valsts aizsardzības militāro objektu un iepirkumu centrs veic individuālo aizsarglīdzekļu un dezinfekcijas līdzekļu </w:t>
      </w:r>
      <w:r w:rsidR="0097648E" w:rsidRPr="00284378">
        <w:rPr>
          <w:rFonts w:ascii="Times New Roman" w:hAnsi="Times New Roman"/>
          <w:sz w:val="28"/>
          <w:szCs w:val="28"/>
        </w:rPr>
        <w:t xml:space="preserve">centralizētu </w:t>
      </w:r>
      <w:r w:rsidRPr="00284378">
        <w:rPr>
          <w:rFonts w:ascii="Times New Roman" w:hAnsi="Times New Roman"/>
          <w:sz w:val="28"/>
          <w:szCs w:val="28"/>
        </w:rPr>
        <w:t xml:space="preserve">iepirkumu atbalsta sniegšanai </w:t>
      </w:r>
      <w:r w:rsidR="00F61411" w:rsidRPr="00284378">
        <w:rPr>
          <w:rFonts w:ascii="Times New Roman" w:hAnsi="Times New Roman"/>
          <w:sz w:val="28"/>
          <w:szCs w:val="28"/>
        </w:rPr>
        <w:t>Itālijas Republika</w:t>
      </w:r>
      <w:r w:rsidR="00C15181" w:rsidRPr="00284378">
        <w:rPr>
          <w:rFonts w:ascii="Times New Roman" w:hAnsi="Times New Roman"/>
          <w:sz w:val="28"/>
          <w:szCs w:val="28"/>
        </w:rPr>
        <w:t>i</w:t>
      </w:r>
      <w:r w:rsidR="00F61411" w:rsidRPr="00284378">
        <w:rPr>
          <w:rFonts w:ascii="Times New Roman" w:hAnsi="Times New Roman"/>
          <w:sz w:val="28"/>
          <w:szCs w:val="28"/>
        </w:rPr>
        <w:t>, Spānijas Karaliste</w:t>
      </w:r>
      <w:r w:rsidR="00266431" w:rsidRPr="00284378">
        <w:rPr>
          <w:rFonts w:ascii="Times New Roman" w:hAnsi="Times New Roman"/>
          <w:sz w:val="28"/>
          <w:szCs w:val="28"/>
        </w:rPr>
        <w:t>i</w:t>
      </w:r>
      <w:r w:rsidR="00F61411" w:rsidRPr="00284378">
        <w:rPr>
          <w:rFonts w:ascii="Times New Roman" w:hAnsi="Times New Roman"/>
          <w:sz w:val="28"/>
          <w:szCs w:val="28"/>
        </w:rPr>
        <w:t xml:space="preserve"> un Sanmarīno Republika</w:t>
      </w:r>
      <w:r w:rsidR="00C15181" w:rsidRPr="00284378">
        <w:rPr>
          <w:rFonts w:ascii="Times New Roman" w:hAnsi="Times New Roman"/>
          <w:sz w:val="28"/>
          <w:szCs w:val="28"/>
        </w:rPr>
        <w:t>i</w:t>
      </w:r>
      <w:r w:rsidRPr="00284378">
        <w:rPr>
          <w:rFonts w:ascii="Times New Roman" w:hAnsi="Times New Roman"/>
          <w:sz w:val="28"/>
          <w:szCs w:val="28"/>
        </w:rPr>
        <w:t xml:space="preserve"> C</w:t>
      </w:r>
      <w:r w:rsidR="0065317B" w:rsidRPr="00284378">
        <w:rPr>
          <w:rFonts w:ascii="Times New Roman" w:hAnsi="Times New Roman"/>
          <w:sz w:val="28"/>
          <w:szCs w:val="28"/>
        </w:rPr>
        <w:t>ovid</w:t>
      </w:r>
      <w:r w:rsidRPr="00284378">
        <w:rPr>
          <w:rFonts w:ascii="Times New Roman" w:hAnsi="Times New Roman"/>
          <w:sz w:val="28"/>
          <w:szCs w:val="28"/>
        </w:rPr>
        <w:t>-19 uzliesmojuma izplatības ierobežošanai un seku apkarošanai</w:t>
      </w:r>
      <w:r w:rsidR="0097648E" w:rsidRPr="00284378">
        <w:rPr>
          <w:rFonts w:ascii="Times New Roman" w:hAnsi="Times New Roman"/>
          <w:sz w:val="28"/>
          <w:szCs w:val="28"/>
        </w:rPr>
        <w:t>,</w:t>
      </w:r>
      <w:r w:rsidRPr="00284378">
        <w:rPr>
          <w:rFonts w:ascii="Times New Roman" w:hAnsi="Times New Roman"/>
          <w:sz w:val="28"/>
          <w:szCs w:val="28"/>
        </w:rPr>
        <w:t xml:space="preserve"> ne</w:t>
      </w:r>
      <w:r w:rsidR="0097648E" w:rsidRPr="00284378">
        <w:rPr>
          <w:rFonts w:ascii="Times New Roman" w:hAnsi="Times New Roman"/>
          <w:sz w:val="28"/>
          <w:szCs w:val="28"/>
        </w:rPr>
        <w:t xml:space="preserve">pārsniedzot </w:t>
      </w:r>
      <w:r w:rsidRPr="00284378">
        <w:rPr>
          <w:rFonts w:ascii="Times New Roman" w:hAnsi="Times New Roman"/>
          <w:sz w:val="28"/>
          <w:szCs w:val="28"/>
        </w:rPr>
        <w:t>100</w:t>
      </w:r>
      <w:r w:rsidR="0097648E" w:rsidRPr="00284378">
        <w:rPr>
          <w:rFonts w:ascii="Times New Roman" w:hAnsi="Times New Roman"/>
          <w:sz w:val="28"/>
          <w:szCs w:val="28"/>
        </w:rPr>
        <w:t> </w:t>
      </w:r>
      <w:r w:rsidRPr="00284378">
        <w:rPr>
          <w:rFonts w:ascii="Times New Roman" w:hAnsi="Times New Roman"/>
          <w:sz w:val="28"/>
          <w:szCs w:val="28"/>
        </w:rPr>
        <w:t>000</w:t>
      </w:r>
      <w:r w:rsidR="0097648E" w:rsidRPr="00284378">
        <w:rPr>
          <w:rFonts w:ascii="Times New Roman" w:hAnsi="Times New Roman"/>
          <w:sz w:val="28"/>
          <w:szCs w:val="28"/>
        </w:rPr>
        <w:t> </w:t>
      </w:r>
      <w:proofErr w:type="spellStart"/>
      <w:r w:rsidRPr="00284378">
        <w:rPr>
          <w:rFonts w:ascii="Times New Roman" w:hAnsi="Times New Roman"/>
          <w:i/>
          <w:iCs/>
          <w:sz w:val="28"/>
          <w:szCs w:val="28"/>
        </w:rPr>
        <w:t>euro</w:t>
      </w:r>
      <w:proofErr w:type="spellEnd"/>
      <w:r w:rsidRPr="00284378">
        <w:rPr>
          <w:rFonts w:ascii="Times New Roman" w:hAnsi="Times New Roman"/>
          <w:sz w:val="28"/>
          <w:szCs w:val="28"/>
        </w:rPr>
        <w:t xml:space="preserve"> apmēr</w:t>
      </w:r>
      <w:r w:rsidR="0097648E" w:rsidRPr="00284378">
        <w:rPr>
          <w:rFonts w:ascii="Times New Roman" w:hAnsi="Times New Roman"/>
          <w:sz w:val="28"/>
          <w:szCs w:val="28"/>
        </w:rPr>
        <w:t>u</w:t>
      </w:r>
      <w:r w:rsidRPr="00284378">
        <w:rPr>
          <w:rFonts w:ascii="Times New Roman" w:hAnsi="Times New Roman"/>
          <w:sz w:val="28"/>
          <w:szCs w:val="28"/>
        </w:rPr>
        <w:t xml:space="preserve">, </w:t>
      </w:r>
      <w:r w:rsidR="0097648E" w:rsidRPr="00284378">
        <w:rPr>
          <w:rFonts w:ascii="Times New Roman" w:hAnsi="Times New Roman"/>
          <w:sz w:val="28"/>
          <w:szCs w:val="28"/>
        </w:rPr>
        <w:t xml:space="preserve">un </w:t>
      </w:r>
      <w:r w:rsidRPr="00284378">
        <w:rPr>
          <w:rFonts w:ascii="Times New Roman" w:hAnsi="Times New Roman"/>
          <w:sz w:val="28"/>
          <w:szCs w:val="28"/>
        </w:rPr>
        <w:t>nodrošin</w:t>
      </w:r>
      <w:r w:rsidR="0097648E" w:rsidRPr="00284378">
        <w:rPr>
          <w:rFonts w:ascii="Times New Roman" w:hAnsi="Times New Roman"/>
          <w:sz w:val="28"/>
          <w:szCs w:val="28"/>
        </w:rPr>
        <w:t>a</w:t>
      </w:r>
      <w:r w:rsidRPr="00284378">
        <w:rPr>
          <w:rFonts w:ascii="Times New Roman" w:hAnsi="Times New Roman"/>
          <w:sz w:val="28"/>
          <w:szCs w:val="28"/>
        </w:rPr>
        <w:t xml:space="preserve"> iegādāto preču uzglabāšanu un norakstīšanu pēc </w:t>
      </w:r>
      <w:r w:rsidR="0097648E" w:rsidRPr="00284378">
        <w:rPr>
          <w:rFonts w:ascii="Times New Roman" w:hAnsi="Times New Roman"/>
          <w:sz w:val="28"/>
          <w:szCs w:val="28"/>
        </w:rPr>
        <w:t xml:space="preserve">to </w:t>
      </w:r>
      <w:r w:rsidRPr="00284378">
        <w:rPr>
          <w:rFonts w:ascii="Times New Roman" w:hAnsi="Times New Roman"/>
          <w:sz w:val="28"/>
          <w:szCs w:val="28"/>
        </w:rPr>
        <w:t>izsniegšanas</w:t>
      </w:r>
      <w:r w:rsidR="0065317B" w:rsidRPr="00284378">
        <w:rPr>
          <w:rFonts w:ascii="Times New Roman" w:hAnsi="Times New Roman"/>
          <w:sz w:val="28"/>
          <w:szCs w:val="28"/>
        </w:rPr>
        <w:t>.</w:t>
      </w:r>
      <w:r w:rsidRPr="00284378">
        <w:rPr>
          <w:rFonts w:ascii="Times New Roman" w:hAnsi="Times New Roman"/>
          <w:sz w:val="28"/>
          <w:szCs w:val="28"/>
        </w:rPr>
        <w:t>"</w:t>
      </w:r>
    </w:p>
    <w:p w:rsidR="005C38C1" w:rsidRPr="00284378" w:rsidRDefault="005C38C1" w:rsidP="00C30978">
      <w:pPr>
        <w:spacing w:after="0" w:line="240" w:lineRule="auto"/>
        <w:jc w:val="both"/>
        <w:rPr>
          <w:rFonts w:ascii="Times New Roman" w:hAnsi="Times New Roman"/>
          <w:sz w:val="28"/>
          <w:szCs w:val="28"/>
        </w:rPr>
      </w:pPr>
    </w:p>
    <w:p w:rsidR="004C38B4" w:rsidRPr="00284378" w:rsidRDefault="004C38B4">
      <w:pPr>
        <w:spacing w:after="0" w:line="240" w:lineRule="auto"/>
        <w:ind w:firstLine="709"/>
        <w:jc w:val="both"/>
      </w:pPr>
      <w:r w:rsidRPr="00284378">
        <w:rPr>
          <w:rFonts w:ascii="Times New Roman" w:hAnsi="Times New Roman"/>
          <w:sz w:val="28"/>
          <w:szCs w:val="28"/>
        </w:rPr>
        <w:t>2. Valsts kancelejai saskaņā ar likuma "</w:t>
      </w:r>
      <w:hyperlink r:id="rId7" w:anchor="_blank" w:history="1">
        <w:r w:rsidRPr="00284378">
          <w:rPr>
            <w:rStyle w:val="Hyperlink"/>
            <w:rFonts w:ascii="Times New Roman" w:hAnsi="Times New Roman"/>
            <w:color w:val="auto"/>
            <w:sz w:val="28"/>
            <w:szCs w:val="28"/>
            <w:u w:val="none"/>
          </w:rPr>
          <w:t>Par ārkārtējo situāciju un izņēmuma stāvokli</w:t>
        </w:r>
      </w:hyperlink>
      <w:r w:rsidRPr="00284378">
        <w:rPr>
          <w:rFonts w:ascii="Times New Roman" w:hAnsi="Times New Roman"/>
          <w:sz w:val="28"/>
          <w:szCs w:val="28"/>
        </w:rPr>
        <w:t xml:space="preserve">" </w:t>
      </w:r>
      <w:hyperlink r:id="rId8" w:anchor="_blank" w:history="1">
        <w:r w:rsidRPr="00284378">
          <w:rPr>
            <w:rStyle w:val="Hyperlink"/>
            <w:rFonts w:ascii="Times New Roman" w:hAnsi="Times New Roman"/>
            <w:color w:val="auto"/>
            <w:sz w:val="28"/>
            <w:szCs w:val="28"/>
            <w:u w:val="none"/>
          </w:rPr>
          <w:t>9. panta</w:t>
        </w:r>
      </w:hyperlink>
      <w:r w:rsidRPr="00284378">
        <w:rPr>
          <w:rFonts w:ascii="Times New Roman" w:hAnsi="Times New Roman"/>
          <w:sz w:val="28"/>
          <w:szCs w:val="28"/>
        </w:rPr>
        <w:t xml:space="preserve"> trešo daļu paziņot Saeimas Prezidijam par Ministru kabineta pieņemto lēmumu un atbilstoši minētā likuma </w:t>
      </w:r>
      <w:hyperlink r:id="rId9" w:anchor="_blank" w:history="1">
        <w:r w:rsidRPr="00284378">
          <w:rPr>
            <w:rStyle w:val="Hyperlink"/>
            <w:rFonts w:ascii="Times New Roman" w:hAnsi="Times New Roman"/>
            <w:color w:val="auto"/>
            <w:sz w:val="28"/>
            <w:szCs w:val="28"/>
            <w:u w:val="none"/>
          </w:rPr>
          <w:t>9. panta</w:t>
        </w:r>
      </w:hyperlink>
      <w:r w:rsidRPr="00284378">
        <w:rPr>
          <w:rStyle w:val="Hyperlink"/>
          <w:rFonts w:ascii="Times New Roman" w:hAnsi="Times New Roman"/>
          <w:color w:val="auto"/>
          <w:sz w:val="28"/>
          <w:szCs w:val="28"/>
          <w:u w:val="none"/>
        </w:rPr>
        <w:t xml:space="preserve"> </w:t>
      </w:r>
      <w:r w:rsidRPr="00284378">
        <w:rPr>
          <w:rFonts w:ascii="Times New Roman" w:hAnsi="Times New Roman"/>
          <w:sz w:val="28"/>
          <w:szCs w:val="28"/>
        </w:rPr>
        <w:t>ceturtajai daļai informēt sabiedriskos elektroniskos plašsaziņas līdzekļus par pieņemto lēmumu.</w:t>
      </w:r>
    </w:p>
    <w:p w:rsidR="004C38B4" w:rsidRPr="00284378" w:rsidRDefault="004C38B4" w:rsidP="00D60B33">
      <w:pPr>
        <w:tabs>
          <w:tab w:val="left" w:pos="6804"/>
        </w:tabs>
        <w:spacing w:after="0" w:line="240" w:lineRule="auto"/>
        <w:jc w:val="both"/>
        <w:rPr>
          <w:rFonts w:ascii="Times New Roman" w:hAnsi="Times New Roman"/>
          <w:sz w:val="28"/>
          <w:szCs w:val="28"/>
        </w:rPr>
      </w:pPr>
    </w:p>
    <w:p w:rsidR="00CB7EB3" w:rsidRPr="00284378" w:rsidRDefault="00CB7EB3" w:rsidP="00D60B33">
      <w:pPr>
        <w:tabs>
          <w:tab w:val="left" w:pos="6804"/>
        </w:tabs>
        <w:spacing w:after="0" w:line="240" w:lineRule="auto"/>
        <w:jc w:val="both"/>
        <w:rPr>
          <w:rFonts w:ascii="Times New Roman" w:hAnsi="Times New Roman"/>
          <w:sz w:val="28"/>
          <w:szCs w:val="28"/>
        </w:rPr>
      </w:pPr>
    </w:p>
    <w:p w:rsidR="00721206" w:rsidRPr="00284378" w:rsidRDefault="00721206" w:rsidP="00D60B33">
      <w:pPr>
        <w:tabs>
          <w:tab w:val="left" w:pos="6804"/>
        </w:tabs>
        <w:spacing w:after="0" w:line="240" w:lineRule="auto"/>
        <w:jc w:val="both"/>
        <w:rPr>
          <w:rFonts w:ascii="Times New Roman" w:hAnsi="Times New Roman"/>
          <w:sz w:val="28"/>
          <w:szCs w:val="28"/>
        </w:rPr>
      </w:pPr>
    </w:p>
    <w:p w:rsidR="00721206" w:rsidRPr="00284378" w:rsidRDefault="00721206" w:rsidP="0097648E">
      <w:pPr>
        <w:pStyle w:val="Body"/>
        <w:tabs>
          <w:tab w:val="left" w:pos="6946"/>
        </w:tabs>
        <w:spacing w:after="0" w:line="240" w:lineRule="auto"/>
        <w:ind w:firstLine="709"/>
        <w:jc w:val="both"/>
        <w:rPr>
          <w:rFonts w:ascii="Times New Roman" w:hAnsi="Times New Roman"/>
          <w:color w:val="auto"/>
          <w:sz w:val="28"/>
          <w:lang w:val="de-DE"/>
        </w:rPr>
      </w:pPr>
      <w:r w:rsidRPr="00284378">
        <w:rPr>
          <w:rFonts w:ascii="Times New Roman" w:hAnsi="Times New Roman"/>
          <w:color w:val="auto"/>
          <w:sz w:val="28"/>
          <w:lang w:val="de-DE"/>
        </w:rPr>
        <w:t>Ministru prezidents</w:t>
      </w:r>
      <w:r w:rsidRPr="00284378">
        <w:rPr>
          <w:rFonts w:ascii="Times New Roman" w:hAnsi="Times New Roman"/>
          <w:color w:val="auto"/>
          <w:sz w:val="28"/>
          <w:lang w:val="de-DE"/>
        </w:rPr>
        <w:tab/>
      </w:r>
      <w:r w:rsidRPr="00284378">
        <w:rPr>
          <w:rFonts w:ascii="Times New Roman" w:eastAsia="Calibri" w:hAnsi="Times New Roman"/>
          <w:color w:val="auto"/>
          <w:sz w:val="28"/>
          <w:lang w:val="de-DE"/>
        </w:rPr>
        <w:t>A. </w:t>
      </w:r>
      <w:r w:rsidRPr="00284378">
        <w:rPr>
          <w:rFonts w:ascii="Times New Roman" w:hAnsi="Times New Roman"/>
          <w:color w:val="auto"/>
          <w:sz w:val="28"/>
          <w:lang w:val="de-DE"/>
        </w:rPr>
        <w:t>K. Kariņš</w:t>
      </w:r>
    </w:p>
    <w:p w:rsidR="00721206" w:rsidRPr="00284378" w:rsidRDefault="00721206" w:rsidP="0097648E">
      <w:pPr>
        <w:pStyle w:val="Body"/>
        <w:tabs>
          <w:tab w:val="left" w:pos="6946"/>
        </w:tabs>
        <w:spacing w:after="0" w:line="240" w:lineRule="auto"/>
        <w:ind w:firstLine="709"/>
        <w:jc w:val="both"/>
        <w:rPr>
          <w:rFonts w:ascii="Times New Roman" w:hAnsi="Times New Roman"/>
          <w:color w:val="auto"/>
          <w:sz w:val="28"/>
          <w:lang w:val="de-DE"/>
        </w:rPr>
      </w:pPr>
    </w:p>
    <w:p w:rsidR="00721206" w:rsidRPr="00284378" w:rsidRDefault="00721206" w:rsidP="0097648E">
      <w:pPr>
        <w:pStyle w:val="Body"/>
        <w:tabs>
          <w:tab w:val="left" w:pos="6946"/>
        </w:tabs>
        <w:spacing w:after="0" w:line="240" w:lineRule="auto"/>
        <w:ind w:firstLine="709"/>
        <w:jc w:val="both"/>
        <w:rPr>
          <w:rFonts w:ascii="Times New Roman" w:hAnsi="Times New Roman"/>
          <w:color w:val="auto"/>
          <w:sz w:val="28"/>
          <w:lang w:val="de-DE"/>
        </w:rPr>
      </w:pPr>
    </w:p>
    <w:p w:rsidR="00721206" w:rsidRPr="00284378" w:rsidRDefault="00721206" w:rsidP="0097648E">
      <w:pPr>
        <w:pStyle w:val="Body"/>
        <w:tabs>
          <w:tab w:val="left" w:pos="6946"/>
        </w:tabs>
        <w:spacing w:after="0" w:line="240" w:lineRule="auto"/>
        <w:ind w:firstLine="709"/>
        <w:jc w:val="both"/>
        <w:rPr>
          <w:rFonts w:ascii="Times New Roman" w:hAnsi="Times New Roman"/>
          <w:color w:val="auto"/>
          <w:sz w:val="28"/>
          <w:lang w:val="de-DE"/>
        </w:rPr>
      </w:pPr>
    </w:p>
    <w:p w:rsidR="00721206" w:rsidRPr="00284378" w:rsidRDefault="00721206" w:rsidP="0097648E">
      <w:pPr>
        <w:pStyle w:val="Body"/>
        <w:tabs>
          <w:tab w:val="left" w:pos="6946"/>
        </w:tabs>
        <w:spacing w:after="0" w:line="240" w:lineRule="auto"/>
        <w:ind w:firstLine="709"/>
        <w:jc w:val="both"/>
        <w:rPr>
          <w:rFonts w:ascii="Times New Roman" w:hAnsi="Times New Roman"/>
          <w:color w:val="auto"/>
          <w:sz w:val="28"/>
          <w:lang w:val="de-DE"/>
        </w:rPr>
      </w:pPr>
      <w:r w:rsidRPr="00284378">
        <w:rPr>
          <w:rFonts w:ascii="Times New Roman" w:hAnsi="Times New Roman"/>
          <w:color w:val="auto"/>
          <w:sz w:val="28"/>
          <w:lang w:val="de-DE"/>
        </w:rPr>
        <w:t>Veselības ministre</w:t>
      </w:r>
      <w:r w:rsidRPr="00284378">
        <w:rPr>
          <w:rFonts w:ascii="Times New Roman" w:hAnsi="Times New Roman"/>
          <w:color w:val="auto"/>
          <w:sz w:val="28"/>
          <w:lang w:val="de-DE"/>
        </w:rPr>
        <w:tab/>
        <w:t>I. Viņķele</w:t>
      </w:r>
    </w:p>
    <w:sectPr w:rsidR="00721206" w:rsidRPr="00284378">
      <w:headerReference w:type="default" r:id="rId10"/>
      <w:footerReference w:type="default" r:id="rId11"/>
      <w:headerReference w:type="first" r:id="rId12"/>
      <w:footerReference w:type="first" r:id="rId13"/>
      <w:pgSz w:w="11906" w:h="16838"/>
      <w:pgMar w:top="1418" w:right="1134"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6EC" w:rsidRDefault="009306EC">
      <w:pPr>
        <w:spacing w:after="0" w:line="240" w:lineRule="auto"/>
      </w:pPr>
      <w:r>
        <w:separator/>
      </w:r>
    </w:p>
  </w:endnote>
  <w:endnote w:type="continuationSeparator" w:id="0">
    <w:p w:rsidR="009306EC" w:rsidRDefault="009306EC">
      <w:pPr>
        <w:spacing w:after="0" w:line="240" w:lineRule="auto"/>
      </w:pPr>
      <w:r>
        <w:continuationSeparator/>
      </w:r>
    </w:p>
  </w:endnote>
  <w:endnote w:type="continuationNotice" w:id="1">
    <w:p w:rsidR="00896A14" w:rsidRDefault="00896A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6EC" w:rsidRPr="002F29C9" w:rsidRDefault="009306EC" w:rsidP="002F29C9">
    <w:pPr>
      <w:spacing w:after="0" w:line="240" w:lineRule="auto"/>
    </w:pPr>
    <w:r>
      <w:rPr>
        <w:rFonts w:ascii="Times New Roman" w:eastAsia="Times New Roman" w:hAnsi="Times New Roman"/>
        <w:bCs/>
        <w:sz w:val="16"/>
        <w:szCs w:val="16"/>
        <w:lang w:val="en-US"/>
      </w:rPr>
      <w:t>R0723_0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6EC" w:rsidRDefault="009306EC">
    <w:pPr>
      <w:spacing w:after="0" w:line="240" w:lineRule="auto"/>
    </w:pPr>
    <w:r>
      <w:rPr>
        <w:rFonts w:ascii="Times New Roman" w:eastAsia="Times New Roman" w:hAnsi="Times New Roman"/>
        <w:bCs/>
        <w:sz w:val="16"/>
        <w:szCs w:val="16"/>
        <w:lang w:val="en-US"/>
      </w:rPr>
      <w:t>R0723_0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6EC" w:rsidRDefault="009306EC">
      <w:pPr>
        <w:spacing w:after="0" w:line="240" w:lineRule="auto"/>
      </w:pPr>
      <w:r>
        <w:separator/>
      </w:r>
    </w:p>
  </w:footnote>
  <w:footnote w:type="continuationSeparator" w:id="0">
    <w:p w:rsidR="009306EC" w:rsidRDefault="009306EC">
      <w:pPr>
        <w:spacing w:after="0" w:line="240" w:lineRule="auto"/>
      </w:pPr>
      <w:r>
        <w:continuationSeparator/>
      </w:r>
    </w:p>
  </w:footnote>
  <w:footnote w:type="continuationNotice" w:id="1">
    <w:p w:rsidR="00896A14" w:rsidRDefault="00896A14">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6EC" w:rsidRDefault="009306EC">
    <w:pPr>
      <w:pStyle w:val="Header"/>
      <w:jc w:val="center"/>
      <w:rPr>
        <w:rFonts w:ascii="Times New Roman" w:hAnsi="Times New Roman"/>
        <w:color w:val="FF0000"/>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71584A">
      <w:rPr>
        <w:rFonts w:ascii="Times New Roman" w:hAnsi="Times New Roman"/>
        <w:noProof/>
        <w:sz w:val="24"/>
        <w:szCs w:val="24"/>
      </w:rPr>
      <w:t>3</w:t>
    </w:r>
    <w:r>
      <w:rPr>
        <w:rFonts w:ascii="Times New Roman" w:hAnsi="Times New Roman"/>
        <w:sz w:val="24"/>
        <w:szCs w:val="24"/>
      </w:rPr>
      <w:fldChar w:fldCharType="end"/>
    </w:r>
  </w:p>
  <w:p w:rsidR="009306EC" w:rsidRDefault="009306EC">
    <w:pPr>
      <w:pStyle w:val="Header"/>
      <w:rPr>
        <w:rFonts w:ascii="Times New Roman" w:hAnsi="Times New Roman"/>
        <w:color w:val="FF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6EC" w:rsidRDefault="009306EC">
    <w:pPr>
      <w:pStyle w:val="Header"/>
    </w:pPr>
  </w:p>
  <w:p w:rsidR="009306EC" w:rsidRDefault="009306EC">
    <w:pPr>
      <w:pStyle w:val="Header"/>
    </w:pPr>
    <w:r>
      <w:rPr>
        <w:noProof/>
        <w:lang w:eastAsia="lv-LV"/>
      </w:rPr>
      <mc:AlternateContent>
        <mc:Choice Requires="wps">
          <w:drawing>
            <wp:anchor distT="0" distB="0" distL="114935" distR="114935" simplePos="0" relativeHeight="251658240" behindDoc="0" locked="0" layoutInCell="1" allowOverlap="1">
              <wp:simplePos x="0" y="0"/>
              <wp:positionH relativeFrom="column">
                <wp:posOffset>3663950</wp:posOffset>
              </wp:positionH>
              <wp:positionV relativeFrom="paragraph">
                <wp:posOffset>18415</wp:posOffset>
              </wp:positionV>
              <wp:extent cx="2468245" cy="532765"/>
              <wp:effectExtent l="0" t="0" r="8255" b="635"/>
              <wp:wrapNone/>
              <wp:docPr id="5"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68245" cy="532765"/>
                      </a:xfrm>
                      <a:prstGeom prst="rect">
                        <a:avLst/>
                      </a:prstGeom>
                      <a:solidFill>
                        <a:srgbClr val="FFFFFF">
                          <a:alpha val="0"/>
                        </a:srgbClr>
                      </a:solidFill>
                      <a:ln w="9525">
                        <a:solidFill>
                          <a:srgbClr val="FFFFFF"/>
                        </a:solidFill>
                        <a:miter lim="800000"/>
                        <a:headEnd/>
                        <a:tailEnd/>
                      </a:ln>
                    </wps:spPr>
                    <wps:txbx>
                      <w:txbxContent>
                        <w:p w:rsidR="009306EC" w:rsidRDefault="009306EC">
                          <w:pPr>
                            <w:jc w:val="right"/>
                            <w:rPr>
                              <w:rFonts w:ascii="Times New Roman" w:hAnsi="Times New Roman"/>
                              <w:b/>
                              <w:sz w:val="24"/>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 1" o:spid="_x0000_s1026" type="#_x0000_t202" style="position:absolute;margin-left:288.5pt;margin-top:1.45pt;width:194.35pt;height:41.9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" strokecolor="white">
              <v:fill opacity="0"/>
              <v:path arrowok="t"/>
              <v:textbox>
                <w:txbxContent>
                  <w:p w14:paraId="3522415B" w14:textId="77777777" w:rsidR="009306EC" w:rsidRDefault="009306EC">
                    <w:pPr>
                      <w:jc w:val="right"/>
                      <w:rPr>
                        <w:rFonts w:ascii="Times New Roman" w:hAnsi="Times New Roman"/>
                        <w:b/>
                        <w:sz w:val="24"/>
                        <w:szCs w:val="32"/>
                      </w:rPr>
                    </w:pPr>
                  </w:p>
                </w:txbxContent>
              </v:textbox>
            </v:shape>
          </w:pict>
        </mc:Fallback>
      </mc:AlternateContent>
    </w:r>
    <w:r>
      <w:rPr>
        <w:noProof/>
        <w:lang w:eastAsia="lv-LV"/>
      </w:rPr>
      <w:drawing>
        <wp:inline distT="0" distB="0" distL="0" distR="0">
          <wp:extent cx="5943600" cy="1001395"/>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l="-11" t="-60" r="-11" b="-60"/>
                  <a:stretch>
                    <a:fillRect/>
                  </a:stretch>
                </pic:blipFill>
                <pic:spPr bwMode="auto">
                  <a:xfrm>
                    <a:off x="0" y="0"/>
                    <a:ext cx="5943600" cy="100139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DA2E5C"/>
    <w:multiLevelType w:val="multilevel"/>
    <w:tmpl w:val="612E8C12"/>
    <w:lvl w:ilvl="0">
      <w:start w:val="1"/>
      <w:numFmt w:val="decimal"/>
      <w:lvlText w:val="%1."/>
      <w:lvlJc w:val="left"/>
      <w:pPr>
        <w:ind w:left="492" w:hanging="492"/>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2" w15:restartNumberingAfterBreak="0">
    <w:nsid w:val="0DDE3E8F"/>
    <w:multiLevelType w:val="multilevel"/>
    <w:tmpl w:val="605044FC"/>
    <w:lvl w:ilvl="0">
      <w:start w:val="1"/>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2556FAF"/>
    <w:multiLevelType w:val="multilevel"/>
    <w:tmpl w:val="37923890"/>
    <w:lvl w:ilvl="0">
      <w:start w:val="1"/>
      <w:numFmt w:val="decimal"/>
      <w:lvlText w:val="%1."/>
      <w:lvlJc w:val="left"/>
      <w:pPr>
        <w:ind w:left="492" w:hanging="492"/>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4" w15:restartNumberingAfterBreak="0">
    <w:nsid w:val="33CB4360"/>
    <w:multiLevelType w:val="hybridMultilevel"/>
    <w:tmpl w:val="B4A004EA"/>
    <w:lvl w:ilvl="0" w:tplc="4134F752">
      <w:start w:val="1"/>
      <w:numFmt w:val="decimal"/>
      <w:lvlText w:val="%1."/>
      <w:lvlJc w:val="left"/>
      <w:pPr>
        <w:ind w:left="1441" w:hanging="732"/>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3FF25D28"/>
    <w:multiLevelType w:val="multilevel"/>
    <w:tmpl w:val="376454EC"/>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D1F5859"/>
    <w:multiLevelType w:val="multilevel"/>
    <w:tmpl w:val="37AE74E6"/>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DC13A61"/>
    <w:multiLevelType w:val="multilevel"/>
    <w:tmpl w:val="A89631AA"/>
    <w:lvl w:ilvl="0">
      <w:start w:val="1"/>
      <w:numFmt w:val="decimal"/>
      <w:lvlText w:val="%1."/>
      <w:lvlJc w:val="left"/>
      <w:pPr>
        <w:ind w:left="492" w:hanging="492"/>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num w:numId="1">
    <w:abstractNumId w:val="0"/>
  </w:num>
  <w:num w:numId="2">
    <w:abstractNumId w:val="1"/>
  </w:num>
  <w:num w:numId="3">
    <w:abstractNumId w:val="7"/>
  </w:num>
  <w:num w:numId="4">
    <w:abstractNumId w:val="6"/>
  </w:num>
  <w:num w:numId="5">
    <w:abstractNumId w:val="5"/>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79"/>
    <w:rsid w:val="000044F0"/>
    <w:rsid w:val="000059C3"/>
    <w:rsid w:val="000116C1"/>
    <w:rsid w:val="000250A4"/>
    <w:rsid w:val="00027080"/>
    <w:rsid w:val="00043E10"/>
    <w:rsid w:val="00052090"/>
    <w:rsid w:val="00053700"/>
    <w:rsid w:val="00053C32"/>
    <w:rsid w:val="0005705B"/>
    <w:rsid w:val="000809DB"/>
    <w:rsid w:val="000A6A1F"/>
    <w:rsid w:val="000A6B2A"/>
    <w:rsid w:val="000C0F51"/>
    <w:rsid w:val="000C126B"/>
    <w:rsid w:val="000C1B8B"/>
    <w:rsid w:val="000C5F8A"/>
    <w:rsid w:val="000D0E60"/>
    <w:rsid w:val="000E1EBE"/>
    <w:rsid w:val="000F0D56"/>
    <w:rsid w:val="000F50AA"/>
    <w:rsid w:val="00135C68"/>
    <w:rsid w:val="00143215"/>
    <w:rsid w:val="00146F49"/>
    <w:rsid w:val="00147D4A"/>
    <w:rsid w:val="00150AC5"/>
    <w:rsid w:val="00176440"/>
    <w:rsid w:val="0018076C"/>
    <w:rsid w:val="001911EE"/>
    <w:rsid w:val="00196DF1"/>
    <w:rsid w:val="001C1561"/>
    <w:rsid w:val="001C68AC"/>
    <w:rsid w:val="001F583C"/>
    <w:rsid w:val="00201E42"/>
    <w:rsid w:val="002345F8"/>
    <w:rsid w:val="0023525D"/>
    <w:rsid w:val="00237BBF"/>
    <w:rsid w:val="00246DAC"/>
    <w:rsid w:val="002572CF"/>
    <w:rsid w:val="0026272B"/>
    <w:rsid w:val="00266431"/>
    <w:rsid w:val="00284378"/>
    <w:rsid w:val="00284D37"/>
    <w:rsid w:val="00286FA3"/>
    <w:rsid w:val="002B56E6"/>
    <w:rsid w:val="002C3526"/>
    <w:rsid w:val="002E0483"/>
    <w:rsid w:val="002E0CAD"/>
    <w:rsid w:val="002E54B8"/>
    <w:rsid w:val="002E7608"/>
    <w:rsid w:val="002F29C9"/>
    <w:rsid w:val="002F4FDC"/>
    <w:rsid w:val="002F58A2"/>
    <w:rsid w:val="003301A1"/>
    <w:rsid w:val="00332812"/>
    <w:rsid w:val="00356A57"/>
    <w:rsid w:val="00363384"/>
    <w:rsid w:val="00364A3C"/>
    <w:rsid w:val="00382522"/>
    <w:rsid w:val="003848AC"/>
    <w:rsid w:val="00391731"/>
    <w:rsid w:val="003A44D8"/>
    <w:rsid w:val="003A5062"/>
    <w:rsid w:val="003A5884"/>
    <w:rsid w:val="003C2CCC"/>
    <w:rsid w:val="003C6D18"/>
    <w:rsid w:val="003D101A"/>
    <w:rsid w:val="003D4547"/>
    <w:rsid w:val="003D5416"/>
    <w:rsid w:val="003D5679"/>
    <w:rsid w:val="003E4A38"/>
    <w:rsid w:val="003E6575"/>
    <w:rsid w:val="003F0555"/>
    <w:rsid w:val="003F2582"/>
    <w:rsid w:val="004020BE"/>
    <w:rsid w:val="004125EF"/>
    <w:rsid w:val="00425FF6"/>
    <w:rsid w:val="00436806"/>
    <w:rsid w:val="00440A43"/>
    <w:rsid w:val="0044518F"/>
    <w:rsid w:val="00457EAD"/>
    <w:rsid w:val="0046499D"/>
    <w:rsid w:val="00471807"/>
    <w:rsid w:val="00480E5C"/>
    <w:rsid w:val="00483292"/>
    <w:rsid w:val="004940FC"/>
    <w:rsid w:val="004973DD"/>
    <w:rsid w:val="004B0A15"/>
    <w:rsid w:val="004B625E"/>
    <w:rsid w:val="004C38B4"/>
    <w:rsid w:val="004C4D4E"/>
    <w:rsid w:val="004E6662"/>
    <w:rsid w:val="00500FBD"/>
    <w:rsid w:val="00501481"/>
    <w:rsid w:val="005230D8"/>
    <w:rsid w:val="00523F18"/>
    <w:rsid w:val="005265B1"/>
    <w:rsid w:val="00526B8C"/>
    <w:rsid w:val="00540A54"/>
    <w:rsid w:val="0054198F"/>
    <w:rsid w:val="005575B5"/>
    <w:rsid w:val="00560158"/>
    <w:rsid w:val="005652B2"/>
    <w:rsid w:val="00584251"/>
    <w:rsid w:val="00585568"/>
    <w:rsid w:val="005A0CBC"/>
    <w:rsid w:val="005A6CF5"/>
    <w:rsid w:val="005B6329"/>
    <w:rsid w:val="005C38C1"/>
    <w:rsid w:val="005D26BF"/>
    <w:rsid w:val="005F5078"/>
    <w:rsid w:val="0061247D"/>
    <w:rsid w:val="00613486"/>
    <w:rsid w:val="00617D45"/>
    <w:rsid w:val="006207B6"/>
    <w:rsid w:val="00621D85"/>
    <w:rsid w:val="00623459"/>
    <w:rsid w:val="006255DF"/>
    <w:rsid w:val="00632A3E"/>
    <w:rsid w:val="006346BD"/>
    <w:rsid w:val="00645B4C"/>
    <w:rsid w:val="0065165C"/>
    <w:rsid w:val="0065317B"/>
    <w:rsid w:val="00657CB1"/>
    <w:rsid w:val="006604A9"/>
    <w:rsid w:val="00663E01"/>
    <w:rsid w:val="006728B2"/>
    <w:rsid w:val="0068048D"/>
    <w:rsid w:val="006A053D"/>
    <w:rsid w:val="006A766B"/>
    <w:rsid w:val="006B1B2B"/>
    <w:rsid w:val="006B2324"/>
    <w:rsid w:val="006C30C5"/>
    <w:rsid w:val="006C5CD6"/>
    <w:rsid w:val="006E23E7"/>
    <w:rsid w:val="006E34CF"/>
    <w:rsid w:val="006F1AC3"/>
    <w:rsid w:val="006F5C8C"/>
    <w:rsid w:val="006F5D3F"/>
    <w:rsid w:val="0070054D"/>
    <w:rsid w:val="00702311"/>
    <w:rsid w:val="0071584A"/>
    <w:rsid w:val="00721206"/>
    <w:rsid w:val="0072469F"/>
    <w:rsid w:val="00724B7B"/>
    <w:rsid w:val="00731688"/>
    <w:rsid w:val="007471C7"/>
    <w:rsid w:val="007520A4"/>
    <w:rsid w:val="00762950"/>
    <w:rsid w:val="007811FF"/>
    <w:rsid w:val="00792238"/>
    <w:rsid w:val="007A5734"/>
    <w:rsid w:val="007A7E02"/>
    <w:rsid w:val="007B0C64"/>
    <w:rsid w:val="007C2950"/>
    <w:rsid w:val="007C3F35"/>
    <w:rsid w:val="007E4D26"/>
    <w:rsid w:val="007F2C81"/>
    <w:rsid w:val="007F3565"/>
    <w:rsid w:val="007F5500"/>
    <w:rsid w:val="007F5F88"/>
    <w:rsid w:val="00810462"/>
    <w:rsid w:val="00814B13"/>
    <w:rsid w:val="00830D86"/>
    <w:rsid w:val="00834564"/>
    <w:rsid w:val="00851963"/>
    <w:rsid w:val="00864D54"/>
    <w:rsid w:val="00871768"/>
    <w:rsid w:val="0087414D"/>
    <w:rsid w:val="00874EA8"/>
    <w:rsid w:val="00875630"/>
    <w:rsid w:val="00882486"/>
    <w:rsid w:val="00885DB3"/>
    <w:rsid w:val="00896A14"/>
    <w:rsid w:val="008A4FE3"/>
    <w:rsid w:val="008B2C81"/>
    <w:rsid w:val="008D7237"/>
    <w:rsid w:val="008F5738"/>
    <w:rsid w:val="00911003"/>
    <w:rsid w:val="00915ED5"/>
    <w:rsid w:val="009306EC"/>
    <w:rsid w:val="009340FC"/>
    <w:rsid w:val="00951C83"/>
    <w:rsid w:val="00953E8C"/>
    <w:rsid w:val="00955DFB"/>
    <w:rsid w:val="00956B47"/>
    <w:rsid w:val="00957A72"/>
    <w:rsid w:val="00960F54"/>
    <w:rsid w:val="00962A2B"/>
    <w:rsid w:val="00975107"/>
    <w:rsid w:val="0097648E"/>
    <w:rsid w:val="009E366D"/>
    <w:rsid w:val="00A045E2"/>
    <w:rsid w:val="00A1098D"/>
    <w:rsid w:val="00A22B9B"/>
    <w:rsid w:val="00A3007E"/>
    <w:rsid w:val="00A42CED"/>
    <w:rsid w:val="00A44C05"/>
    <w:rsid w:val="00A45CAF"/>
    <w:rsid w:val="00A4767E"/>
    <w:rsid w:val="00A50C6E"/>
    <w:rsid w:val="00A54D1A"/>
    <w:rsid w:val="00A62A76"/>
    <w:rsid w:val="00A63A7B"/>
    <w:rsid w:val="00A8108E"/>
    <w:rsid w:val="00A946C0"/>
    <w:rsid w:val="00A97FF0"/>
    <w:rsid w:val="00AB3361"/>
    <w:rsid w:val="00AE163A"/>
    <w:rsid w:val="00AE5F38"/>
    <w:rsid w:val="00AE619E"/>
    <w:rsid w:val="00AE6D4A"/>
    <w:rsid w:val="00AF6D63"/>
    <w:rsid w:val="00B10F4C"/>
    <w:rsid w:val="00B36B6B"/>
    <w:rsid w:val="00B44EFD"/>
    <w:rsid w:val="00B808A1"/>
    <w:rsid w:val="00B86683"/>
    <w:rsid w:val="00B90FCF"/>
    <w:rsid w:val="00B92B21"/>
    <w:rsid w:val="00B979E2"/>
    <w:rsid w:val="00B97E78"/>
    <w:rsid w:val="00BA1376"/>
    <w:rsid w:val="00BA2787"/>
    <w:rsid w:val="00BA504A"/>
    <w:rsid w:val="00BB1D84"/>
    <w:rsid w:val="00BB4AC9"/>
    <w:rsid w:val="00BB60CF"/>
    <w:rsid w:val="00BE6CDF"/>
    <w:rsid w:val="00BF2CD8"/>
    <w:rsid w:val="00BF2DD9"/>
    <w:rsid w:val="00BF7606"/>
    <w:rsid w:val="00C0548C"/>
    <w:rsid w:val="00C07AA1"/>
    <w:rsid w:val="00C15181"/>
    <w:rsid w:val="00C20C71"/>
    <w:rsid w:val="00C22A4D"/>
    <w:rsid w:val="00C23765"/>
    <w:rsid w:val="00C30978"/>
    <w:rsid w:val="00C35CCF"/>
    <w:rsid w:val="00C43270"/>
    <w:rsid w:val="00C60899"/>
    <w:rsid w:val="00C645C0"/>
    <w:rsid w:val="00C64E01"/>
    <w:rsid w:val="00C9260E"/>
    <w:rsid w:val="00CA78A0"/>
    <w:rsid w:val="00CB30B7"/>
    <w:rsid w:val="00CB7EB3"/>
    <w:rsid w:val="00CC04EC"/>
    <w:rsid w:val="00CC522D"/>
    <w:rsid w:val="00CD240F"/>
    <w:rsid w:val="00CD4563"/>
    <w:rsid w:val="00CD6370"/>
    <w:rsid w:val="00CE49DF"/>
    <w:rsid w:val="00CF05CD"/>
    <w:rsid w:val="00CF36B3"/>
    <w:rsid w:val="00CF39C1"/>
    <w:rsid w:val="00D020DB"/>
    <w:rsid w:val="00D24DAF"/>
    <w:rsid w:val="00D5211C"/>
    <w:rsid w:val="00D52E71"/>
    <w:rsid w:val="00D549F7"/>
    <w:rsid w:val="00D60B33"/>
    <w:rsid w:val="00D70BC7"/>
    <w:rsid w:val="00D71782"/>
    <w:rsid w:val="00D734C2"/>
    <w:rsid w:val="00D9609E"/>
    <w:rsid w:val="00DA060C"/>
    <w:rsid w:val="00DA6206"/>
    <w:rsid w:val="00DB0FD2"/>
    <w:rsid w:val="00DB3DA4"/>
    <w:rsid w:val="00DB605B"/>
    <w:rsid w:val="00DB6B60"/>
    <w:rsid w:val="00DC4B4D"/>
    <w:rsid w:val="00DD5B12"/>
    <w:rsid w:val="00DD7101"/>
    <w:rsid w:val="00E05FBE"/>
    <w:rsid w:val="00E21C91"/>
    <w:rsid w:val="00E305BE"/>
    <w:rsid w:val="00E429EB"/>
    <w:rsid w:val="00E679F4"/>
    <w:rsid w:val="00E7200E"/>
    <w:rsid w:val="00E83683"/>
    <w:rsid w:val="00E864CC"/>
    <w:rsid w:val="00E864DC"/>
    <w:rsid w:val="00E93C1A"/>
    <w:rsid w:val="00EB75A0"/>
    <w:rsid w:val="00EE0AD1"/>
    <w:rsid w:val="00F06F82"/>
    <w:rsid w:val="00F2214C"/>
    <w:rsid w:val="00F27BA7"/>
    <w:rsid w:val="00F33F2E"/>
    <w:rsid w:val="00F365E0"/>
    <w:rsid w:val="00F407A8"/>
    <w:rsid w:val="00F47E79"/>
    <w:rsid w:val="00F553A5"/>
    <w:rsid w:val="00F61411"/>
    <w:rsid w:val="00F81AFA"/>
    <w:rsid w:val="00F828F2"/>
    <w:rsid w:val="00F84251"/>
    <w:rsid w:val="00F87711"/>
    <w:rsid w:val="00F96957"/>
    <w:rsid w:val="00FA1B87"/>
    <w:rsid w:val="00FA7A00"/>
    <w:rsid w:val="00FB18BB"/>
    <w:rsid w:val="00FB7E46"/>
    <w:rsid w:val="00FC6EDC"/>
    <w:rsid w:val="00FE70C7"/>
    <w:rsid w:val="00FE7F1A"/>
    <w:rsid w:val="00FF0108"/>
    <w:rsid w:val="00FF4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5:chartTrackingRefBased/>
  <w15:docId w15:val="{FD893B4C-0519-6643-BE2B-ADD942A3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6" w:lineRule="auto"/>
    </w:pPr>
    <w:rPr>
      <w:rFonts w:ascii="Calibri" w:eastAsia="Calibri" w:hAnsi="Calibri"/>
      <w:sz w:val="22"/>
      <w:szCs w:val="22"/>
      <w:lang w:val="lv-LV" w:eastAsia="zh-CN"/>
    </w:rPr>
  </w:style>
  <w:style w:type="paragraph" w:styleId="Heading3">
    <w:name w:val="heading 3"/>
    <w:basedOn w:val="Normal"/>
    <w:next w:val="BodyText"/>
    <w:qFormat/>
    <w:pPr>
      <w:numPr>
        <w:ilvl w:val="2"/>
        <w:numId w:val="1"/>
      </w:numPr>
      <w:spacing w:before="280" w:after="280"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4z0">
    <w:name w:val="WW8Num4z0"/>
    <w:rPr>
      <w:rFonts w:hint="default"/>
    </w:rPr>
  </w:style>
  <w:style w:type="character" w:styleId="Strong">
    <w:name w:val="Strong"/>
    <w:qFormat/>
    <w:rPr>
      <w:b/>
      <w:bCs/>
    </w:rPr>
  </w:style>
  <w:style w:type="character" w:customStyle="1" w:styleId="Heading3Char">
    <w:name w:val="Heading 3 Char"/>
    <w:rPr>
      <w:rFonts w:ascii="Times New Roman" w:eastAsia="Times New Roman" w:hAnsi="Times New Roman" w:cs="Times New Roman"/>
      <w:b/>
      <w:bCs/>
      <w:sz w:val="27"/>
      <w:szCs w:val="27"/>
    </w:rPr>
  </w:style>
  <w:style w:type="character" w:styleId="Hyperlink">
    <w:name w:val="Hyperlink"/>
    <w:rPr>
      <w:color w:val="0000FF"/>
      <w:u w:val="single"/>
    </w:rPr>
  </w:style>
  <w:style w:type="character" w:customStyle="1" w:styleId="BalloonTextChar">
    <w:name w:val="Balloon Text Char"/>
    <w:rPr>
      <w:rFonts w:ascii="Segoe UI" w:hAnsi="Segoe UI" w:cs="Segoe UI"/>
      <w:sz w:val="18"/>
      <w:szCs w:val="18"/>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PlainTextChar">
    <w:name w:val="Plain Text Char"/>
    <w:rPr>
      <w:rFonts w:ascii="Calibri" w:hAnsi="Calibri" w:cs="Calibri"/>
      <w:szCs w:val="21"/>
    </w:rPr>
  </w:style>
  <w:style w:type="character" w:styleId="CommentReference">
    <w:name w:val="annotation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WW-InternetLink">
    <w:name w:val="WW-Internet Link"/>
    <w:rPr>
      <w:color w:val="0000FF"/>
      <w:u w:val="single"/>
    </w:rPr>
  </w:style>
  <w:style w:type="character" w:customStyle="1" w:styleId="BodyTextChar">
    <w:name w:val="Body Text Char"/>
    <w:rPr>
      <w:rFonts w:cs="Calibri"/>
      <w:sz w:val="22"/>
      <w:szCs w:val="22"/>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rPr>
      <w:rFonts w:cs="Calibri"/>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liknoteik">
    <w:name w:val="lik_noteik"/>
    <w:basedOn w:val="Normal"/>
    <w:pPr>
      <w:spacing w:before="280" w:after="280" w:line="240" w:lineRule="auto"/>
    </w:pPr>
    <w:rPr>
      <w:rFonts w:ascii="Times New Roman" w:eastAsia="Times New Roman" w:hAnsi="Times New Roman"/>
      <w:sz w:val="24"/>
      <w:szCs w:val="24"/>
    </w:rPr>
  </w:style>
  <w:style w:type="paragraph" w:customStyle="1" w:styleId="likdat">
    <w:name w:val="lik_dat"/>
    <w:basedOn w:val="Normal"/>
    <w:pPr>
      <w:spacing w:before="280" w:after="280" w:line="240" w:lineRule="auto"/>
    </w:pPr>
    <w:rPr>
      <w:rFonts w:ascii="Times New Roman" w:eastAsia="Times New Roman" w:hAnsi="Times New Roman"/>
      <w:sz w:val="24"/>
      <w:szCs w:val="24"/>
    </w:r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customStyle="1" w:styleId="likparaksts">
    <w:name w:val="lik_paraksts"/>
    <w:basedOn w:val="Normal"/>
    <w:pPr>
      <w:spacing w:before="280" w:after="280" w:line="240" w:lineRule="auto"/>
    </w:pPr>
    <w:rPr>
      <w:rFonts w:ascii="Times New Roman" w:eastAsia="Times New Roman" w:hAnsi="Times New Roman"/>
      <w:sz w:val="24"/>
      <w:szCs w:val="24"/>
    </w:rPr>
  </w:style>
  <w:style w:type="paragraph" w:customStyle="1" w:styleId="tv213">
    <w:name w:val="tv213"/>
    <w:basedOn w:val="Normal"/>
    <w:pPr>
      <w:spacing w:before="280" w:after="280" w:line="240" w:lineRule="auto"/>
    </w:pPr>
    <w:rPr>
      <w:rFonts w:ascii="Times New Roman" w:eastAsia="Times New Roman" w:hAnsi="Times New Roman"/>
      <w:sz w:val="24"/>
      <w:szCs w:val="24"/>
    </w:rPr>
  </w:style>
  <w:style w:type="paragraph" w:styleId="NoSpacing">
    <w:name w:val="No Spacing"/>
    <w:qFormat/>
    <w:pPr>
      <w:suppressAutoHyphens/>
      <w:ind w:firstLine="720"/>
    </w:pPr>
    <w:rPr>
      <w:rFonts w:eastAsia="Calibri"/>
      <w:sz w:val="28"/>
      <w:szCs w:val="28"/>
      <w:lang w:val="lv-LV" w:eastAsia="zh-CN"/>
    </w:rPr>
  </w:style>
  <w:style w:type="paragraph" w:styleId="BalloonText">
    <w:name w:val="Balloon Text"/>
    <w:basedOn w:val="Normal"/>
    <w:pPr>
      <w:spacing w:after="0" w:line="240" w:lineRule="auto"/>
    </w:pPr>
    <w:rPr>
      <w:rFonts w:ascii="Segoe UI" w:hAnsi="Segoe UI" w:cs="Segoe UI"/>
      <w:sz w:val="18"/>
      <w:szCs w:val="18"/>
    </w:rPr>
  </w:style>
  <w:style w:type="paragraph" w:customStyle="1" w:styleId="Body">
    <w:name w:val="Body"/>
    <w:pPr>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Arial Unicode MS" w:hAnsi="Calibri" w:cs="Arial Unicode MS"/>
      <w:color w:val="000000"/>
      <w:sz w:val="22"/>
      <w:szCs w:val="22"/>
      <w:lang w:val="lv-LV" w:eastAsia="zh-CN"/>
    </w:rPr>
  </w:style>
  <w:style w:type="paragraph" w:styleId="Header">
    <w:name w:val="header"/>
    <w:basedOn w:val="Normal"/>
    <w:pPr>
      <w:spacing w:after="0" w:line="240" w:lineRule="auto"/>
    </w:pPr>
  </w:style>
  <w:style w:type="paragraph" w:styleId="Footer">
    <w:name w:val="footer"/>
    <w:basedOn w:val="Normal"/>
    <w:pPr>
      <w:spacing w:after="0" w:line="240" w:lineRule="auto"/>
    </w:pPr>
  </w:style>
  <w:style w:type="paragraph" w:styleId="ListParagraph">
    <w:name w:val="List Paragraph"/>
    <w:basedOn w:val="Normal"/>
    <w:qFormat/>
    <w:pPr>
      <w:ind w:left="720"/>
      <w:contextualSpacing/>
    </w:pPr>
  </w:style>
  <w:style w:type="paragraph" w:styleId="PlainText">
    <w:name w:val="Plain Text"/>
    <w:basedOn w:val="Normal"/>
    <w:pPr>
      <w:spacing w:after="0" w:line="240" w:lineRule="auto"/>
    </w:pPr>
    <w:rPr>
      <w:rFonts w:cs="Calibri"/>
      <w:szCs w:val="21"/>
    </w:rPr>
  </w:style>
  <w:style w:type="paragraph" w:customStyle="1" w:styleId="xmsonormal">
    <w:name w:val="x_msonormal"/>
    <w:basedOn w:val="Normal"/>
    <w:pPr>
      <w:spacing w:before="280" w:after="280" w:line="240" w:lineRule="auto"/>
    </w:pPr>
    <w:rPr>
      <w:rFonts w:ascii="Times New Roman" w:eastAsia="Times New Roman" w:hAnsi="Times New Roman"/>
      <w:sz w:val="24"/>
      <w:szCs w:val="24"/>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doc-ti">
    <w:name w:val="doc-ti"/>
    <w:basedOn w:val="Normal"/>
    <w:pPr>
      <w:spacing w:before="280" w:after="280" w:line="240" w:lineRule="auto"/>
    </w:pPr>
    <w:rPr>
      <w:rFonts w:ascii="Times New Roman" w:eastAsia="Times New Roman" w:hAnsi="Times New Roman"/>
      <w:sz w:val="24"/>
      <w:szCs w:val="24"/>
    </w:r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21355">
      <w:bodyDiv w:val="1"/>
      <w:marLeft w:val="0"/>
      <w:marRight w:val="0"/>
      <w:marTop w:val="0"/>
      <w:marBottom w:val="0"/>
      <w:divBdr>
        <w:top w:val="none" w:sz="0" w:space="0" w:color="auto"/>
        <w:left w:val="none" w:sz="0" w:space="0" w:color="auto"/>
        <w:bottom w:val="none" w:sz="0" w:space="0" w:color="auto"/>
        <w:right w:val="none" w:sz="0" w:space="0" w:color="auto"/>
      </w:divBdr>
      <w:divsChild>
        <w:div w:id="2090497550">
          <w:marLeft w:val="0"/>
          <w:marRight w:val="0"/>
          <w:marTop w:val="0"/>
          <w:marBottom w:val="0"/>
          <w:divBdr>
            <w:top w:val="none" w:sz="0" w:space="0" w:color="auto"/>
            <w:left w:val="none" w:sz="0" w:space="0" w:color="auto"/>
            <w:bottom w:val="none" w:sz="0" w:space="0" w:color="auto"/>
            <w:right w:val="none" w:sz="0" w:space="0" w:color="auto"/>
          </w:divBdr>
        </w:div>
      </w:divsChild>
    </w:div>
    <w:div w:id="906375392">
      <w:bodyDiv w:val="1"/>
      <w:marLeft w:val="0"/>
      <w:marRight w:val="0"/>
      <w:marTop w:val="0"/>
      <w:marBottom w:val="0"/>
      <w:divBdr>
        <w:top w:val="none" w:sz="0" w:space="0" w:color="auto"/>
        <w:left w:val="none" w:sz="0" w:space="0" w:color="auto"/>
        <w:bottom w:val="none" w:sz="0" w:space="0" w:color="auto"/>
        <w:right w:val="none" w:sz="0" w:space="0" w:color="auto"/>
      </w:divBdr>
    </w:div>
    <w:div w:id="989865937">
      <w:bodyDiv w:val="1"/>
      <w:marLeft w:val="0"/>
      <w:marRight w:val="0"/>
      <w:marTop w:val="0"/>
      <w:marBottom w:val="0"/>
      <w:divBdr>
        <w:top w:val="none" w:sz="0" w:space="0" w:color="auto"/>
        <w:left w:val="none" w:sz="0" w:space="0" w:color="auto"/>
        <w:bottom w:val="none" w:sz="0" w:space="0" w:color="auto"/>
        <w:right w:val="none" w:sz="0" w:space="0" w:color="auto"/>
      </w:divBdr>
    </w:div>
    <w:div w:id="1259366154">
      <w:bodyDiv w:val="1"/>
      <w:marLeft w:val="0"/>
      <w:marRight w:val="0"/>
      <w:marTop w:val="0"/>
      <w:marBottom w:val="0"/>
      <w:divBdr>
        <w:top w:val="none" w:sz="0" w:space="0" w:color="auto"/>
        <w:left w:val="none" w:sz="0" w:space="0" w:color="auto"/>
        <w:bottom w:val="none" w:sz="0" w:space="0" w:color="auto"/>
        <w:right w:val="none" w:sz="0" w:space="0" w:color="auto"/>
      </w:divBdr>
    </w:div>
    <w:div w:id="1397901062">
      <w:bodyDiv w:val="1"/>
      <w:marLeft w:val="0"/>
      <w:marRight w:val="0"/>
      <w:marTop w:val="0"/>
      <w:marBottom w:val="0"/>
      <w:divBdr>
        <w:top w:val="none" w:sz="0" w:space="0" w:color="auto"/>
        <w:left w:val="none" w:sz="0" w:space="0" w:color="auto"/>
        <w:bottom w:val="none" w:sz="0" w:space="0" w:color="auto"/>
        <w:right w:val="none" w:sz="0" w:space="0" w:color="auto"/>
      </w:divBdr>
    </w:div>
    <w:div w:id="153553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5713-par-arkartejo-situaciju-un-iznemuma-stavokl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likumi.lv/ta/id/255713-par-arkartejo-situaciju-un-iznemuma-stavokli"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kumi.lv/ta/id/255713-par-arkartejo-situaciju-un-iznemuma-stavokl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3875</Words>
  <Characters>2210</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Links>
    <vt:vector size="18" baseType="variant">
      <vt:variant>
        <vt:i4>4194399</vt:i4>
      </vt:variant>
      <vt:variant>
        <vt:i4>6</vt:i4>
      </vt:variant>
      <vt:variant>
        <vt:i4>0</vt:i4>
      </vt:variant>
      <vt:variant>
        <vt:i4>5</vt:i4>
      </vt:variant>
      <vt:variant>
        <vt:lpwstr>https://likumi.lv/ta/id/255713-par-arkartejo-situaciju-un-iznemuma-stavokli</vt:lpwstr>
      </vt:variant>
      <vt:variant>
        <vt:lpwstr>p9</vt:lpwstr>
      </vt:variant>
      <vt:variant>
        <vt:i4>4194399</vt:i4>
      </vt:variant>
      <vt:variant>
        <vt:i4>3</vt:i4>
      </vt:variant>
      <vt:variant>
        <vt:i4>0</vt:i4>
      </vt:variant>
      <vt:variant>
        <vt:i4>5</vt:i4>
      </vt:variant>
      <vt:variant>
        <vt:lpwstr>https://likumi.lv/ta/id/255713-par-arkartejo-situaciju-un-iznemuma-stavokli</vt:lpwstr>
      </vt:variant>
      <vt:variant>
        <vt:lpwstr>p9</vt:lpwstr>
      </vt:variant>
      <vt:variant>
        <vt:i4>7929903</vt:i4>
      </vt:variant>
      <vt:variant>
        <vt:i4>0</vt:i4>
      </vt:variant>
      <vt:variant>
        <vt:i4>0</vt:i4>
      </vt:variant>
      <vt:variant>
        <vt:i4>5</vt:i4>
      </vt:variant>
      <vt:variant>
        <vt:lpwstr>https://likumi.lv/ta/id/255713-par-arkartejo-situaciju-un-iznemuma-stavokli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Nikolajeva</dc:creator>
  <cp:keywords/>
  <cp:lastModifiedBy>Kate</cp:lastModifiedBy>
  <cp:revision>2</cp:revision>
  <cp:lastPrinted>2020-04-23T13:01:00Z</cp:lastPrinted>
  <dcterms:created xsi:type="dcterms:W3CDTF">2020-04-23T17:48:00Z</dcterms:created>
  <dcterms:modified xsi:type="dcterms:W3CDTF">2020-04-23T17:48:00Z</dcterms:modified>
</cp:coreProperties>
</file>