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4A" w:rsidRPr="00C43BE8" w:rsidRDefault="00B115AC" w:rsidP="001647F2">
      <w:pPr>
        <w:ind w:right="-109"/>
        <w:jc w:val="center"/>
        <w:rPr>
          <w:sz w:val="28"/>
          <w:szCs w:val="28"/>
        </w:rPr>
      </w:pPr>
      <w:r>
        <w:rPr>
          <w:sz w:val="28"/>
          <w:szCs w:val="28"/>
        </w:rPr>
        <w:t>Informatīvais</w:t>
      </w:r>
      <w:r w:rsidR="00310B4A" w:rsidRPr="00C43BE8">
        <w:rPr>
          <w:sz w:val="28"/>
          <w:szCs w:val="28"/>
        </w:rPr>
        <w:t xml:space="preserve"> </w:t>
      </w:r>
      <w:smartTag w:uri="schemas-tilde-lv/tildestengine" w:element="veidnes">
        <w:smartTagPr>
          <w:attr w:name="baseform" w:val="ziņojum|s"/>
          <w:attr w:name="id" w:val="-1"/>
          <w:attr w:name="text" w:val="ziņojums"/>
        </w:smartTagPr>
        <w:r w:rsidR="00310B4A" w:rsidRPr="00C43BE8">
          <w:rPr>
            <w:sz w:val="28"/>
            <w:szCs w:val="28"/>
          </w:rPr>
          <w:t>ziņojums</w:t>
        </w:r>
      </w:smartTag>
    </w:p>
    <w:p w:rsidR="00310B4A" w:rsidRPr="00C43BE8" w:rsidRDefault="00310B4A" w:rsidP="001647F2">
      <w:pPr>
        <w:ind w:right="-109"/>
        <w:jc w:val="center"/>
        <w:rPr>
          <w:sz w:val="28"/>
          <w:szCs w:val="28"/>
        </w:rPr>
      </w:pPr>
    </w:p>
    <w:p w:rsidR="00C35ED6" w:rsidRPr="00C43BE8" w:rsidRDefault="00344D8D" w:rsidP="001647F2">
      <w:pPr>
        <w:ind w:right="-109"/>
        <w:jc w:val="center"/>
        <w:rPr>
          <w:b/>
          <w:sz w:val="32"/>
          <w:szCs w:val="32"/>
        </w:rPr>
      </w:pPr>
      <w:r w:rsidRPr="00C43BE8">
        <w:rPr>
          <w:b/>
          <w:sz w:val="32"/>
          <w:szCs w:val="32"/>
        </w:rPr>
        <w:t>Priekšlikumi p</w:t>
      </w:r>
      <w:r w:rsidR="00C35ED6" w:rsidRPr="00C43BE8">
        <w:rPr>
          <w:b/>
          <w:sz w:val="32"/>
          <w:szCs w:val="32"/>
        </w:rPr>
        <w:t>ar minimālās mēneša darba algas</w:t>
      </w:r>
      <w:r w:rsidRPr="00C43BE8">
        <w:rPr>
          <w:b/>
          <w:sz w:val="32"/>
          <w:szCs w:val="32"/>
        </w:rPr>
        <w:t xml:space="preserve"> apmēr</w:t>
      </w:r>
      <w:r w:rsidR="00F71D2B" w:rsidRPr="00C43BE8">
        <w:rPr>
          <w:b/>
          <w:sz w:val="32"/>
          <w:szCs w:val="32"/>
        </w:rPr>
        <w:t>u</w:t>
      </w:r>
      <w:r w:rsidRPr="00C43BE8">
        <w:rPr>
          <w:b/>
          <w:sz w:val="32"/>
          <w:szCs w:val="32"/>
        </w:rPr>
        <w:t xml:space="preserve"> </w:t>
      </w:r>
      <w:r w:rsidR="00C35ED6" w:rsidRPr="00C43BE8">
        <w:rPr>
          <w:b/>
          <w:sz w:val="32"/>
          <w:szCs w:val="32"/>
        </w:rPr>
        <w:t>20</w:t>
      </w:r>
      <w:r w:rsidR="00E47810" w:rsidRPr="00C43BE8">
        <w:rPr>
          <w:b/>
          <w:sz w:val="32"/>
          <w:szCs w:val="32"/>
        </w:rPr>
        <w:t>1</w:t>
      </w:r>
      <w:r w:rsidR="00A42C4D">
        <w:rPr>
          <w:b/>
          <w:sz w:val="32"/>
          <w:szCs w:val="32"/>
        </w:rPr>
        <w:t>6</w:t>
      </w:r>
      <w:r w:rsidR="00C35ED6" w:rsidRPr="00C43BE8">
        <w:rPr>
          <w:b/>
          <w:sz w:val="32"/>
          <w:szCs w:val="32"/>
        </w:rPr>
        <w:t>.gad</w:t>
      </w:r>
      <w:r w:rsidR="00F71D2B" w:rsidRPr="00C43BE8">
        <w:rPr>
          <w:b/>
          <w:sz w:val="32"/>
          <w:szCs w:val="32"/>
        </w:rPr>
        <w:t>ā</w:t>
      </w:r>
    </w:p>
    <w:p w:rsidR="00F4092E" w:rsidRPr="00C43BE8" w:rsidRDefault="00F4092E" w:rsidP="001647F2">
      <w:pPr>
        <w:ind w:right="-109"/>
        <w:rPr>
          <w:sz w:val="28"/>
          <w:szCs w:val="28"/>
        </w:rPr>
      </w:pPr>
    </w:p>
    <w:p w:rsidR="00192162" w:rsidRPr="00C43BE8" w:rsidRDefault="00192162" w:rsidP="001647F2">
      <w:pPr>
        <w:ind w:right="-109"/>
        <w:rPr>
          <w:sz w:val="28"/>
          <w:szCs w:val="28"/>
        </w:rPr>
      </w:pPr>
    </w:p>
    <w:p w:rsidR="00BA7D5B" w:rsidRPr="00C43BE8" w:rsidRDefault="002235A8" w:rsidP="00A42C4D">
      <w:pPr>
        <w:ind w:right="-109"/>
        <w:jc w:val="center"/>
        <w:rPr>
          <w:b/>
          <w:bCs/>
          <w:sz w:val="32"/>
          <w:szCs w:val="32"/>
        </w:rPr>
      </w:pPr>
      <w:r>
        <w:rPr>
          <w:b/>
          <w:bCs/>
          <w:sz w:val="32"/>
          <w:szCs w:val="32"/>
        </w:rPr>
        <w:t>1</w:t>
      </w:r>
      <w:r w:rsidR="00954C4C">
        <w:rPr>
          <w:b/>
          <w:bCs/>
          <w:sz w:val="32"/>
          <w:szCs w:val="32"/>
        </w:rPr>
        <w:t>. </w:t>
      </w:r>
      <w:r w:rsidR="00A42C4D">
        <w:rPr>
          <w:b/>
          <w:bCs/>
          <w:sz w:val="32"/>
          <w:szCs w:val="32"/>
        </w:rPr>
        <w:t>Kopsavilkums</w:t>
      </w:r>
    </w:p>
    <w:p w:rsidR="00192162" w:rsidRPr="00C43BE8" w:rsidRDefault="00192162" w:rsidP="00192162">
      <w:pPr>
        <w:pStyle w:val="naisf"/>
        <w:spacing w:before="0" w:beforeAutospacing="0" w:after="0" w:afterAutospacing="0"/>
        <w:jc w:val="both"/>
        <w:rPr>
          <w:sz w:val="28"/>
          <w:szCs w:val="28"/>
        </w:rPr>
      </w:pPr>
    </w:p>
    <w:p w:rsidR="002800D0" w:rsidRPr="00C43BE8" w:rsidRDefault="00115FCB" w:rsidP="002800D0">
      <w:pPr>
        <w:ind w:firstLine="720"/>
        <w:jc w:val="both"/>
        <w:rPr>
          <w:sz w:val="28"/>
          <w:szCs w:val="28"/>
        </w:rPr>
      </w:pPr>
      <w:r w:rsidRPr="00C43BE8">
        <w:rPr>
          <w:sz w:val="28"/>
          <w:szCs w:val="28"/>
        </w:rPr>
        <w:t xml:space="preserve">Saskaņā ar </w:t>
      </w:r>
      <w:r w:rsidR="00394414" w:rsidRPr="00C43BE8">
        <w:rPr>
          <w:sz w:val="28"/>
          <w:szCs w:val="28"/>
        </w:rPr>
        <w:t xml:space="preserve">Ministru kabineta 2011.gada 17.maija noteikumiem Nr.390 „Minimālās mēneša darba algas noteikšanas un pārskatīšanas kārtība” </w:t>
      </w:r>
      <w:r w:rsidRPr="00C43BE8">
        <w:rPr>
          <w:sz w:val="28"/>
          <w:szCs w:val="28"/>
        </w:rPr>
        <w:t xml:space="preserve">Labklājības ministrijai kopīgi ar Finanšu ministriju un Ekonomikas ministriju katru gadu jāizvērtē ekonomiskā situācija valstī un jāizstrādā priekšlikums par minimālās mēneša darba algas apmēru (ar precizitāti līdz </w:t>
      </w:r>
      <w:r w:rsidR="00DE379A" w:rsidRPr="00C43BE8">
        <w:rPr>
          <w:sz w:val="28"/>
          <w:szCs w:val="28"/>
        </w:rPr>
        <w:t xml:space="preserve">vienam </w:t>
      </w:r>
      <w:proofErr w:type="spellStart"/>
      <w:r w:rsidR="00DE379A" w:rsidRPr="00C43BE8">
        <w:rPr>
          <w:i/>
          <w:sz w:val="28"/>
          <w:szCs w:val="28"/>
        </w:rPr>
        <w:t>euro</w:t>
      </w:r>
      <w:proofErr w:type="spellEnd"/>
      <w:r w:rsidRPr="00C43BE8">
        <w:rPr>
          <w:sz w:val="28"/>
          <w:szCs w:val="28"/>
        </w:rPr>
        <w:t>), ņemot vērā Ekonomikas ministrijas sagatavotās makroekonomiskās prognozes un ekonomiskās situācijas izmaiņas iepriekšējā gadā, plānotās izmaiņas nodokļu sistēmā (iedzīvotāju ienākuma nodokļa likmes, ar iedzīvotāju ienākuma nodokli neapliekamā minimuma, obligātās valsts sociālās apdrošināšanas iemaksu likmju izmaiņas),</w:t>
      </w:r>
      <w:r w:rsidRPr="00C43BE8">
        <w:rPr>
          <w:bCs/>
          <w:sz w:val="28"/>
          <w:szCs w:val="28"/>
        </w:rPr>
        <w:t xml:space="preserve"> kā arī minimālās mēneša darba algas izmaiņas citās Baltijas valstīs (Igaunijā un Lietuvā)</w:t>
      </w:r>
      <w:r w:rsidR="002800D0" w:rsidRPr="00C43BE8">
        <w:rPr>
          <w:bCs/>
          <w:sz w:val="28"/>
          <w:szCs w:val="28"/>
        </w:rPr>
        <w:t>.</w:t>
      </w:r>
    </w:p>
    <w:p w:rsidR="002235A8" w:rsidRPr="00C43BE8" w:rsidRDefault="002235A8" w:rsidP="002235A8">
      <w:pPr>
        <w:ind w:right="-109" w:firstLine="720"/>
        <w:jc w:val="both"/>
        <w:rPr>
          <w:sz w:val="28"/>
          <w:szCs w:val="28"/>
        </w:rPr>
      </w:pPr>
      <w:r w:rsidRPr="00C43BE8">
        <w:rPr>
          <w:sz w:val="28"/>
          <w:szCs w:val="28"/>
        </w:rPr>
        <w:t>Izstrādāt</w:t>
      </w:r>
      <w:r>
        <w:rPr>
          <w:sz w:val="28"/>
          <w:szCs w:val="28"/>
        </w:rPr>
        <w:t>ais</w:t>
      </w:r>
      <w:r w:rsidRPr="00C43BE8">
        <w:rPr>
          <w:sz w:val="28"/>
          <w:szCs w:val="28"/>
        </w:rPr>
        <w:t xml:space="preserve"> priekšlikum</w:t>
      </w:r>
      <w:r>
        <w:rPr>
          <w:sz w:val="28"/>
          <w:szCs w:val="28"/>
        </w:rPr>
        <w:t>s</w:t>
      </w:r>
      <w:r w:rsidRPr="00C43BE8">
        <w:rPr>
          <w:sz w:val="28"/>
          <w:szCs w:val="28"/>
        </w:rPr>
        <w:t xml:space="preserve"> par minimālās mēneša darba algas apmēru 201</w:t>
      </w:r>
      <w:r>
        <w:rPr>
          <w:sz w:val="28"/>
          <w:szCs w:val="28"/>
        </w:rPr>
        <w:t>6</w:t>
      </w:r>
      <w:r w:rsidRPr="00C43BE8">
        <w:rPr>
          <w:sz w:val="28"/>
          <w:szCs w:val="28"/>
        </w:rPr>
        <w:t>.gadā Labklājības ministrijai līdz 201</w:t>
      </w:r>
      <w:r>
        <w:rPr>
          <w:sz w:val="28"/>
          <w:szCs w:val="28"/>
        </w:rPr>
        <w:t>5</w:t>
      </w:r>
      <w:r w:rsidRPr="00C43BE8">
        <w:rPr>
          <w:sz w:val="28"/>
          <w:szCs w:val="28"/>
        </w:rPr>
        <w:t>.gada 1.jūnijam ir jāiesniedz saskaņošanai Nacionālās trīspusējās sadarbības padomē (turpmāk – NTSP).</w:t>
      </w:r>
    </w:p>
    <w:p w:rsidR="002235A8" w:rsidRPr="00A42C4D" w:rsidRDefault="002235A8" w:rsidP="002235A8">
      <w:pPr>
        <w:pStyle w:val="naiskr"/>
        <w:spacing w:before="0" w:after="0"/>
        <w:ind w:firstLine="720"/>
        <w:jc w:val="both"/>
        <w:rPr>
          <w:sz w:val="28"/>
          <w:szCs w:val="28"/>
        </w:rPr>
      </w:pPr>
      <w:r w:rsidRPr="00C43BE8">
        <w:rPr>
          <w:sz w:val="28"/>
          <w:szCs w:val="28"/>
        </w:rPr>
        <w:t>Pēc priekšlikuma par minimālās mēneša darba algas apmēru un ieviešanas datumu 201</w:t>
      </w:r>
      <w:r>
        <w:rPr>
          <w:sz w:val="28"/>
          <w:szCs w:val="28"/>
        </w:rPr>
        <w:t>6</w:t>
      </w:r>
      <w:r w:rsidRPr="00C43BE8">
        <w:rPr>
          <w:sz w:val="28"/>
          <w:szCs w:val="28"/>
        </w:rPr>
        <w:t>.gadā izskatīšanas NTSP tas ir jāiesniedz izskatīšanai Ministru kabineta sēdē</w:t>
      </w:r>
      <w:r>
        <w:rPr>
          <w:sz w:val="28"/>
          <w:szCs w:val="28"/>
        </w:rPr>
        <w:t>. S</w:t>
      </w:r>
      <w:r w:rsidRPr="00C43BE8">
        <w:rPr>
          <w:sz w:val="28"/>
          <w:szCs w:val="28"/>
        </w:rPr>
        <w:t xml:space="preserve">askaņā ar Ministru kabineta </w:t>
      </w:r>
      <w:smartTag w:uri="schemas-tilde-lv/tildestengine" w:element="veidnes">
        <w:smartTagPr>
          <w:attr w:name="baseform" w:val="lēmum|s"/>
          <w:attr w:name="id" w:val="-1"/>
          <w:attr w:name="text" w:val="lēmumu"/>
        </w:smartTagPr>
        <w:r w:rsidRPr="00C43BE8">
          <w:rPr>
            <w:sz w:val="28"/>
            <w:szCs w:val="28"/>
          </w:rPr>
          <w:t>lēmumu</w:t>
        </w:r>
      </w:smartTag>
      <w:r w:rsidRPr="00C43BE8">
        <w:rPr>
          <w:sz w:val="28"/>
          <w:szCs w:val="28"/>
        </w:rPr>
        <w:t xml:space="preserve"> par minimāl</w:t>
      </w:r>
      <w:r>
        <w:rPr>
          <w:sz w:val="28"/>
          <w:szCs w:val="28"/>
        </w:rPr>
        <w:t>o</w:t>
      </w:r>
      <w:r w:rsidRPr="00C43BE8">
        <w:rPr>
          <w:sz w:val="28"/>
          <w:szCs w:val="28"/>
        </w:rPr>
        <w:t xml:space="preserve"> mēneša darba alg</w:t>
      </w:r>
      <w:r>
        <w:rPr>
          <w:sz w:val="28"/>
          <w:szCs w:val="28"/>
        </w:rPr>
        <w:t>u</w:t>
      </w:r>
      <w:r w:rsidRPr="00C43BE8">
        <w:rPr>
          <w:sz w:val="28"/>
          <w:szCs w:val="28"/>
        </w:rPr>
        <w:t xml:space="preserve"> Labklājības ministrija izstrādās Ministru kabineta noteikumu projektu par minimālās mēneša darba algas un minimālās stundas tarifa likmes apmēru 201</w:t>
      </w:r>
      <w:r>
        <w:rPr>
          <w:sz w:val="28"/>
          <w:szCs w:val="28"/>
        </w:rPr>
        <w:t>6</w:t>
      </w:r>
      <w:r w:rsidRPr="00C43BE8">
        <w:rPr>
          <w:sz w:val="28"/>
          <w:szCs w:val="28"/>
        </w:rPr>
        <w:t xml:space="preserve">.gadā. Savukārt Finanšu ministrijai jāizstrādā normatīvo </w:t>
      </w:r>
      <w:smartTag w:uri="schemas-tilde-lv/tildestengine" w:element="veidnes">
        <w:smartTagPr>
          <w:attr w:name="baseform" w:val="akt|s"/>
          <w:attr w:name="id" w:val="-1"/>
          <w:attr w:name="text" w:val="aktu"/>
        </w:smartTagPr>
        <w:r w:rsidRPr="00C43BE8">
          <w:rPr>
            <w:sz w:val="28"/>
            <w:szCs w:val="28"/>
          </w:rPr>
          <w:t>aktu</w:t>
        </w:r>
      </w:smartTag>
      <w:r w:rsidRPr="00C43BE8">
        <w:rPr>
          <w:sz w:val="28"/>
          <w:szCs w:val="28"/>
        </w:rPr>
        <w:t xml:space="preserve"> projekti par nepieciešamajiem grozījumiem Ministru kabineta noteikumos, kas saistīti ar darba samaksas jautājumiem. Ja Ministru kabinets pieņem </w:t>
      </w:r>
      <w:smartTag w:uri="schemas-tilde-lv/tildestengine" w:element="veidnes">
        <w:smartTagPr>
          <w:attr w:name="baseform" w:val="lēmum|s"/>
          <w:attr w:name="id" w:val="-1"/>
          <w:attr w:name="text" w:val="lēmumu"/>
        </w:smartTagPr>
        <w:r w:rsidRPr="00C43BE8">
          <w:rPr>
            <w:sz w:val="28"/>
            <w:szCs w:val="28"/>
          </w:rPr>
          <w:t>lēmumu</w:t>
        </w:r>
      </w:smartTag>
      <w:r w:rsidRPr="00C43BE8">
        <w:rPr>
          <w:sz w:val="28"/>
          <w:szCs w:val="28"/>
        </w:rPr>
        <w:t xml:space="preserve"> par minimālās mēneša darba algas saglabāšanu 201</w:t>
      </w:r>
      <w:r>
        <w:rPr>
          <w:sz w:val="28"/>
          <w:szCs w:val="28"/>
        </w:rPr>
        <w:t>6</w:t>
      </w:r>
      <w:r w:rsidRPr="00C43BE8">
        <w:rPr>
          <w:sz w:val="28"/>
          <w:szCs w:val="28"/>
        </w:rPr>
        <w:t>.</w:t>
      </w:r>
      <w:r w:rsidRPr="00A42C4D">
        <w:rPr>
          <w:sz w:val="28"/>
          <w:szCs w:val="28"/>
        </w:rPr>
        <w:t>gadā iepriekšējā apmērā, nekādi normatīvo aktu projekti nav jāizstrādā.</w:t>
      </w:r>
    </w:p>
    <w:p w:rsidR="002235A8" w:rsidRDefault="002235A8" w:rsidP="002235A8">
      <w:pPr>
        <w:pStyle w:val="Footer"/>
        <w:tabs>
          <w:tab w:val="clear" w:pos="4153"/>
          <w:tab w:val="clear" w:pos="8306"/>
        </w:tabs>
        <w:ind w:firstLine="720"/>
        <w:jc w:val="both"/>
        <w:rPr>
          <w:sz w:val="28"/>
          <w:szCs w:val="28"/>
        </w:rPr>
      </w:pPr>
      <w:r w:rsidRPr="00A42C4D">
        <w:rPr>
          <w:sz w:val="28"/>
          <w:szCs w:val="28"/>
        </w:rPr>
        <w:t xml:space="preserve">Paralēli tam </w:t>
      </w:r>
      <w:r>
        <w:rPr>
          <w:sz w:val="28"/>
          <w:szCs w:val="28"/>
        </w:rPr>
        <w:t>s</w:t>
      </w:r>
      <w:r w:rsidRPr="00A42C4D">
        <w:rPr>
          <w:sz w:val="28"/>
          <w:szCs w:val="28"/>
        </w:rPr>
        <w:t>askaņā ar Darba likuma pārejas noteikumu 14.punktu (2014.gada 23.oktobrī pieņemtais likums „Grozījumi Darba likumā”) 2016.gada 1.janvārī stājas spēkā grozījumi likuma 61.pantā, kas nosaka deleģējumu</w:t>
      </w:r>
      <w:r w:rsidRPr="00A42C4D">
        <w:rPr>
          <w:color w:val="000000"/>
          <w:sz w:val="28"/>
          <w:szCs w:val="28"/>
        </w:rPr>
        <w:t xml:space="preserve"> Ministru kabinetam sagatavot Ministru kabineta noteikumus par minimālās mēneša darba algas apmēru normāla darba laika ietvaros, kā arī minimālās stundas tarifa likmes aprēķināšanu</w:t>
      </w:r>
      <w:r>
        <w:rPr>
          <w:color w:val="000000"/>
          <w:sz w:val="28"/>
          <w:szCs w:val="28"/>
        </w:rPr>
        <w:t xml:space="preserve">. </w:t>
      </w:r>
      <w:r w:rsidRPr="008C1BDE">
        <w:rPr>
          <w:color w:val="000000"/>
          <w:sz w:val="28"/>
          <w:szCs w:val="28"/>
        </w:rPr>
        <w:t>Tas nozīmē, ka n</w:t>
      </w:r>
      <w:r w:rsidRPr="008C1BDE">
        <w:rPr>
          <w:sz w:val="28"/>
          <w:szCs w:val="28"/>
        </w:rPr>
        <w:t xml:space="preserve">epieciešams izstrādāt Ministru kabineta noteikumu projektu „Noteikumi par minimālās mēneša darba algas apmēru normāla darba laika ietvaros, kā arī minimālās stundas tarifa likmes aprēķināšanu”, kura mērķis ir izmainīt </w:t>
      </w:r>
      <w:r>
        <w:rPr>
          <w:sz w:val="28"/>
          <w:szCs w:val="28"/>
        </w:rPr>
        <w:t xml:space="preserve">pašreizējo </w:t>
      </w:r>
      <w:r w:rsidRPr="008C1BDE">
        <w:rPr>
          <w:sz w:val="28"/>
          <w:szCs w:val="28"/>
        </w:rPr>
        <w:t xml:space="preserve">minimālās stundas tarifa likmes aprēķināšanu, iekļaujot attiecīgas formulas un nodrošinot tiesisku pamatu šo formulu </w:t>
      </w:r>
      <w:r>
        <w:rPr>
          <w:sz w:val="28"/>
          <w:szCs w:val="28"/>
        </w:rPr>
        <w:t>piemērošanai stundas tarifa likmju aprēķinam</w:t>
      </w:r>
      <w:r w:rsidRPr="008C1BDE">
        <w:rPr>
          <w:sz w:val="28"/>
          <w:szCs w:val="28"/>
        </w:rPr>
        <w:t>.</w:t>
      </w:r>
      <w:r>
        <w:rPr>
          <w:sz w:val="28"/>
          <w:szCs w:val="28"/>
        </w:rPr>
        <w:t xml:space="preserve"> </w:t>
      </w:r>
      <w:r w:rsidRPr="00B81DB5">
        <w:rPr>
          <w:sz w:val="28"/>
          <w:szCs w:val="28"/>
        </w:rPr>
        <w:t xml:space="preserve">Pašreiz </w:t>
      </w:r>
      <w:r w:rsidRPr="00B81DB5">
        <w:rPr>
          <w:sz w:val="28"/>
          <w:szCs w:val="28"/>
        </w:rPr>
        <w:lastRenderedPageBreak/>
        <w:t xml:space="preserve">Ministru kabineta 2013.gada 27.augusta noteikumi Nr.665 „Noteikumi par minimālo mēneša darba algu un minimālo stundas tarifa likmi” nosaka, ka minimālās mēneša darba algas apmērs normāla darba laika ietvaros (8 stundas dienā un 40 stundas nedēļā) ir 360 </w:t>
      </w:r>
      <w:proofErr w:type="spellStart"/>
      <w:r w:rsidRPr="00B81DB5">
        <w:rPr>
          <w:i/>
          <w:sz w:val="28"/>
          <w:szCs w:val="28"/>
        </w:rPr>
        <w:t>euro</w:t>
      </w:r>
      <w:proofErr w:type="spellEnd"/>
      <w:r w:rsidRPr="00B81DB5">
        <w:rPr>
          <w:sz w:val="28"/>
          <w:szCs w:val="28"/>
        </w:rPr>
        <w:t xml:space="preserve"> un minimālā stundas tarifa likme ir 2,166 </w:t>
      </w:r>
      <w:proofErr w:type="spellStart"/>
      <w:r w:rsidRPr="00B81DB5">
        <w:rPr>
          <w:i/>
          <w:sz w:val="28"/>
          <w:szCs w:val="28"/>
        </w:rPr>
        <w:t>euro</w:t>
      </w:r>
      <w:proofErr w:type="spellEnd"/>
      <w:r w:rsidRPr="00B81DB5">
        <w:rPr>
          <w:sz w:val="28"/>
          <w:szCs w:val="28"/>
        </w:rPr>
        <w:t xml:space="preserve">, bet pusaudžiem un darbiniekiem, kuri pakļauti īpašam riskam un kuriem normālais darba laiks ir septiņas stundas dienā un 35 stundas nedēļā, minimālā stundas tarifa likme ir 2,477 </w:t>
      </w:r>
      <w:proofErr w:type="spellStart"/>
      <w:r w:rsidRPr="00B81DB5">
        <w:rPr>
          <w:i/>
          <w:sz w:val="28"/>
          <w:szCs w:val="28"/>
        </w:rPr>
        <w:t>euro</w:t>
      </w:r>
      <w:proofErr w:type="spellEnd"/>
      <w:r w:rsidRPr="00B81DB5">
        <w:rPr>
          <w:sz w:val="28"/>
          <w:szCs w:val="28"/>
        </w:rPr>
        <w:t>.</w:t>
      </w:r>
    </w:p>
    <w:p w:rsidR="002235A8" w:rsidRPr="008C1BDE" w:rsidRDefault="002235A8" w:rsidP="002235A8">
      <w:pPr>
        <w:ind w:firstLine="720"/>
        <w:jc w:val="both"/>
        <w:rPr>
          <w:sz w:val="28"/>
          <w:szCs w:val="28"/>
        </w:rPr>
      </w:pPr>
      <w:r w:rsidRPr="008C1BDE">
        <w:rPr>
          <w:sz w:val="28"/>
          <w:szCs w:val="28"/>
        </w:rPr>
        <w:t xml:space="preserve">Saskaņā ar 2014.gada 5.novembrī parakstīto Deklarācijas par Laimdotas </w:t>
      </w:r>
      <w:proofErr w:type="spellStart"/>
      <w:r w:rsidRPr="008C1BDE">
        <w:rPr>
          <w:sz w:val="28"/>
          <w:szCs w:val="28"/>
        </w:rPr>
        <w:t>Straujumas</w:t>
      </w:r>
      <w:proofErr w:type="spellEnd"/>
      <w:r w:rsidRPr="008C1BDE">
        <w:rPr>
          <w:sz w:val="28"/>
          <w:szCs w:val="28"/>
        </w:rPr>
        <w:t xml:space="preserve"> vadītā Ministru kabineta iecerēto darbību 89.punktu minimālā mēneša darba alga valstī 2015.gadā ir </w:t>
      </w:r>
      <w:r>
        <w:rPr>
          <w:sz w:val="28"/>
          <w:szCs w:val="28"/>
        </w:rPr>
        <w:t>palielināta</w:t>
      </w:r>
      <w:r w:rsidRPr="008C1BDE">
        <w:rPr>
          <w:sz w:val="28"/>
          <w:szCs w:val="28"/>
        </w:rPr>
        <w:t xml:space="preserve"> par 40 </w:t>
      </w:r>
      <w:proofErr w:type="spellStart"/>
      <w:r w:rsidRPr="008C1BDE">
        <w:rPr>
          <w:i/>
          <w:sz w:val="28"/>
          <w:szCs w:val="28"/>
        </w:rPr>
        <w:t>euro</w:t>
      </w:r>
      <w:proofErr w:type="spellEnd"/>
      <w:r w:rsidRPr="008C1BDE">
        <w:rPr>
          <w:sz w:val="28"/>
          <w:szCs w:val="28"/>
        </w:rPr>
        <w:t xml:space="preserve"> un nākamajos gados t</w:t>
      </w:r>
      <w:r>
        <w:rPr>
          <w:sz w:val="28"/>
          <w:szCs w:val="28"/>
        </w:rPr>
        <w:t>ā jāturpina</w:t>
      </w:r>
      <w:r w:rsidRPr="008C1BDE">
        <w:rPr>
          <w:sz w:val="28"/>
          <w:szCs w:val="28"/>
        </w:rPr>
        <w:t xml:space="preserve"> paaugstināt, lai pakāpeniski sasniegtu pusi no vidējā atalgojuma tautsaimniecībā</w:t>
      </w:r>
      <w:r>
        <w:rPr>
          <w:sz w:val="28"/>
          <w:szCs w:val="28"/>
        </w:rPr>
        <w:t>. Vienlaikus Labklājības ministrija ir paredzējusi strādāt pie minimālās algas noteikšanas analītiskā ietvara pilnveides, balstoties uz Ekonomiskās sadarbības un attīstības organizācijas (</w:t>
      </w:r>
      <w:proofErr w:type="spellStart"/>
      <w:r w:rsidRPr="002235A8">
        <w:rPr>
          <w:i/>
          <w:sz w:val="28"/>
          <w:szCs w:val="28"/>
        </w:rPr>
        <w:t>Organisation</w:t>
      </w:r>
      <w:proofErr w:type="spellEnd"/>
      <w:r w:rsidRPr="002235A8">
        <w:rPr>
          <w:i/>
          <w:sz w:val="28"/>
          <w:szCs w:val="28"/>
        </w:rPr>
        <w:t xml:space="preserve"> </w:t>
      </w:r>
      <w:proofErr w:type="spellStart"/>
      <w:r w:rsidRPr="002235A8">
        <w:rPr>
          <w:i/>
          <w:sz w:val="28"/>
          <w:szCs w:val="28"/>
        </w:rPr>
        <w:t>for</w:t>
      </w:r>
      <w:proofErr w:type="spellEnd"/>
      <w:r w:rsidRPr="002235A8">
        <w:rPr>
          <w:i/>
          <w:sz w:val="28"/>
          <w:szCs w:val="28"/>
        </w:rPr>
        <w:t xml:space="preserve"> </w:t>
      </w:r>
      <w:proofErr w:type="spellStart"/>
      <w:r w:rsidRPr="002235A8">
        <w:rPr>
          <w:i/>
          <w:sz w:val="28"/>
          <w:szCs w:val="28"/>
        </w:rPr>
        <w:t>Economic</w:t>
      </w:r>
      <w:proofErr w:type="spellEnd"/>
      <w:r w:rsidRPr="002235A8">
        <w:rPr>
          <w:i/>
          <w:sz w:val="28"/>
          <w:szCs w:val="28"/>
        </w:rPr>
        <w:t xml:space="preserve"> </w:t>
      </w:r>
      <w:proofErr w:type="spellStart"/>
      <w:r w:rsidRPr="002235A8">
        <w:rPr>
          <w:i/>
          <w:sz w:val="28"/>
          <w:szCs w:val="28"/>
        </w:rPr>
        <w:t>Cooperation</w:t>
      </w:r>
      <w:proofErr w:type="spellEnd"/>
      <w:r w:rsidRPr="002235A8">
        <w:rPr>
          <w:i/>
          <w:sz w:val="28"/>
          <w:szCs w:val="28"/>
        </w:rPr>
        <w:t xml:space="preserve"> </w:t>
      </w:r>
      <w:proofErr w:type="spellStart"/>
      <w:r w:rsidRPr="002235A8">
        <w:rPr>
          <w:i/>
          <w:sz w:val="28"/>
          <w:szCs w:val="28"/>
        </w:rPr>
        <w:t>and</w:t>
      </w:r>
      <w:proofErr w:type="spellEnd"/>
      <w:r w:rsidRPr="002235A8">
        <w:rPr>
          <w:i/>
          <w:sz w:val="28"/>
          <w:szCs w:val="28"/>
        </w:rPr>
        <w:t xml:space="preserve"> </w:t>
      </w:r>
      <w:proofErr w:type="spellStart"/>
      <w:r w:rsidRPr="002235A8">
        <w:rPr>
          <w:i/>
          <w:sz w:val="28"/>
          <w:szCs w:val="28"/>
        </w:rPr>
        <w:t>Development</w:t>
      </w:r>
      <w:proofErr w:type="spellEnd"/>
      <w:r>
        <w:rPr>
          <w:sz w:val="28"/>
          <w:szCs w:val="28"/>
        </w:rPr>
        <w:t xml:space="preserve"> (OECD)) labo praksi un nesenām vairāku Eiropas Savienības (ES) dalībvalstu veiktajām reformām šajā jomā, lai padarītu minimālās algas izmaiņu noteikšanas procesu vairāk uz pierādījumiem balstītu un caurspīdīgāku.</w:t>
      </w:r>
    </w:p>
    <w:p w:rsidR="00453A41" w:rsidRPr="00C43BE8" w:rsidRDefault="00453A41" w:rsidP="00453A41">
      <w:pPr>
        <w:ind w:firstLine="720"/>
        <w:jc w:val="both"/>
        <w:rPr>
          <w:sz w:val="28"/>
          <w:szCs w:val="28"/>
        </w:rPr>
      </w:pPr>
      <w:r w:rsidRPr="00C43BE8">
        <w:rPr>
          <w:sz w:val="28"/>
          <w:szCs w:val="28"/>
        </w:rPr>
        <w:t xml:space="preserve">Ievērojot ekonomiskās situācijas uzlabošanos </w:t>
      </w:r>
      <w:r>
        <w:rPr>
          <w:sz w:val="28"/>
          <w:szCs w:val="28"/>
        </w:rPr>
        <w:t xml:space="preserve">iepriekšējos gados </w:t>
      </w:r>
      <w:r w:rsidRPr="00C43BE8">
        <w:rPr>
          <w:sz w:val="28"/>
          <w:szCs w:val="28"/>
        </w:rPr>
        <w:t xml:space="preserve">un </w:t>
      </w:r>
      <w:r>
        <w:rPr>
          <w:sz w:val="28"/>
          <w:szCs w:val="28"/>
        </w:rPr>
        <w:t>iespējamo situācijas attīstību</w:t>
      </w:r>
      <w:r w:rsidRPr="00C43BE8">
        <w:rPr>
          <w:sz w:val="28"/>
          <w:szCs w:val="28"/>
        </w:rPr>
        <w:t xml:space="preserve"> 201</w:t>
      </w:r>
      <w:r>
        <w:rPr>
          <w:sz w:val="28"/>
          <w:szCs w:val="28"/>
        </w:rPr>
        <w:t>5</w:t>
      </w:r>
      <w:r w:rsidRPr="00C43BE8">
        <w:rPr>
          <w:sz w:val="28"/>
          <w:szCs w:val="28"/>
        </w:rPr>
        <w:t>.,</w:t>
      </w:r>
      <w:r>
        <w:rPr>
          <w:sz w:val="28"/>
          <w:szCs w:val="28"/>
        </w:rPr>
        <w:t xml:space="preserve"> </w:t>
      </w:r>
      <w:r w:rsidRPr="00C43BE8">
        <w:rPr>
          <w:sz w:val="28"/>
          <w:szCs w:val="28"/>
        </w:rPr>
        <w:t>201</w:t>
      </w:r>
      <w:r>
        <w:rPr>
          <w:sz w:val="28"/>
          <w:szCs w:val="28"/>
        </w:rPr>
        <w:t>6</w:t>
      </w:r>
      <w:r w:rsidRPr="00C43BE8">
        <w:rPr>
          <w:sz w:val="28"/>
          <w:szCs w:val="28"/>
        </w:rPr>
        <w:t xml:space="preserve">.gadā, Labklājības ministrija piedāvāja Ekonomikas ministrijai un Finanšu ministrijai izvērtēšanai </w:t>
      </w:r>
      <w:r>
        <w:rPr>
          <w:sz w:val="28"/>
          <w:szCs w:val="28"/>
        </w:rPr>
        <w:t>šādus variantus</w:t>
      </w:r>
      <w:r w:rsidRPr="00C43BE8">
        <w:rPr>
          <w:sz w:val="28"/>
          <w:szCs w:val="28"/>
        </w:rPr>
        <w:t xml:space="preserve"> par minimālās mēneša darba algas </w:t>
      </w:r>
      <w:r>
        <w:rPr>
          <w:sz w:val="28"/>
          <w:szCs w:val="28"/>
        </w:rPr>
        <w:t xml:space="preserve">saglabāšanu pašreizējā apmērā vai </w:t>
      </w:r>
      <w:r w:rsidRPr="00C43BE8">
        <w:rPr>
          <w:sz w:val="28"/>
          <w:szCs w:val="28"/>
        </w:rPr>
        <w:t>palielinājum</w:t>
      </w:r>
      <w:r>
        <w:rPr>
          <w:sz w:val="28"/>
          <w:szCs w:val="28"/>
        </w:rPr>
        <w:t>u</w:t>
      </w:r>
      <w:r w:rsidRPr="00C43BE8">
        <w:rPr>
          <w:sz w:val="28"/>
          <w:szCs w:val="28"/>
        </w:rPr>
        <w:t>:</w:t>
      </w:r>
    </w:p>
    <w:p w:rsidR="00DB41A6" w:rsidRPr="00C43BE8" w:rsidRDefault="00DB41A6" w:rsidP="00261047">
      <w:pPr>
        <w:jc w:val="both"/>
        <w:rPr>
          <w:sz w:val="28"/>
          <w:szCs w:val="28"/>
        </w:rPr>
      </w:pPr>
      <w:r w:rsidRPr="00C43BE8">
        <w:rPr>
          <w:b/>
          <w:bCs/>
          <w:sz w:val="28"/>
          <w:szCs w:val="28"/>
        </w:rPr>
        <w:t>1.variants</w:t>
      </w:r>
      <w:r w:rsidRPr="00C43BE8">
        <w:rPr>
          <w:sz w:val="28"/>
          <w:szCs w:val="28"/>
        </w:rPr>
        <w:t xml:space="preserve"> – saglabāt minimālo </w:t>
      </w:r>
      <w:r w:rsidR="00D22039" w:rsidRPr="00C43BE8">
        <w:rPr>
          <w:sz w:val="28"/>
          <w:szCs w:val="28"/>
        </w:rPr>
        <w:t xml:space="preserve">mēneša darba </w:t>
      </w:r>
      <w:r w:rsidRPr="00C43BE8">
        <w:rPr>
          <w:sz w:val="28"/>
          <w:szCs w:val="28"/>
        </w:rPr>
        <w:t xml:space="preserve">algu </w:t>
      </w:r>
      <w:r w:rsidRPr="00C43BE8">
        <w:rPr>
          <w:b/>
          <w:sz w:val="28"/>
          <w:szCs w:val="28"/>
        </w:rPr>
        <w:t>3</w:t>
      </w:r>
      <w:r w:rsidR="00B81DB5">
        <w:rPr>
          <w:b/>
          <w:sz w:val="28"/>
          <w:szCs w:val="28"/>
        </w:rPr>
        <w:t>6</w:t>
      </w:r>
      <w:r w:rsidRPr="00C43BE8">
        <w:rPr>
          <w:b/>
          <w:sz w:val="28"/>
          <w:szCs w:val="28"/>
        </w:rPr>
        <w:t xml:space="preserve">0 </w:t>
      </w:r>
      <w:proofErr w:type="spellStart"/>
      <w:r w:rsidRPr="00C43BE8">
        <w:rPr>
          <w:b/>
          <w:i/>
          <w:sz w:val="28"/>
          <w:szCs w:val="28"/>
        </w:rPr>
        <w:t>euro</w:t>
      </w:r>
      <w:proofErr w:type="spellEnd"/>
      <w:r w:rsidRPr="00C43BE8">
        <w:rPr>
          <w:b/>
          <w:sz w:val="28"/>
          <w:szCs w:val="28"/>
        </w:rPr>
        <w:t xml:space="preserve"> apmērā</w:t>
      </w:r>
      <w:r w:rsidRPr="00C43BE8">
        <w:rPr>
          <w:sz w:val="28"/>
          <w:szCs w:val="28"/>
        </w:rPr>
        <w:t xml:space="preserve"> (0,0%), sākot ar 201</w:t>
      </w:r>
      <w:r w:rsidR="00B81DB5">
        <w:rPr>
          <w:sz w:val="28"/>
          <w:szCs w:val="28"/>
        </w:rPr>
        <w:t>6</w:t>
      </w:r>
      <w:r w:rsidRPr="00C43BE8">
        <w:rPr>
          <w:sz w:val="28"/>
          <w:szCs w:val="28"/>
        </w:rPr>
        <w:t>.gada 1.janvāri;</w:t>
      </w:r>
    </w:p>
    <w:p w:rsidR="00DB41A6" w:rsidRPr="00C43BE8" w:rsidRDefault="00DB41A6" w:rsidP="00DB41A6">
      <w:pPr>
        <w:jc w:val="both"/>
        <w:rPr>
          <w:sz w:val="28"/>
          <w:szCs w:val="28"/>
        </w:rPr>
      </w:pPr>
      <w:r w:rsidRPr="00C43BE8">
        <w:rPr>
          <w:b/>
          <w:bCs/>
          <w:sz w:val="28"/>
          <w:szCs w:val="28"/>
        </w:rPr>
        <w:t>2.variants</w:t>
      </w:r>
      <w:r w:rsidRPr="00C43BE8">
        <w:rPr>
          <w:sz w:val="28"/>
          <w:szCs w:val="28"/>
        </w:rPr>
        <w:t xml:space="preserve"> – paaugstināt minimālo </w:t>
      </w:r>
      <w:r w:rsidR="00D22039" w:rsidRPr="00C43BE8">
        <w:rPr>
          <w:sz w:val="28"/>
          <w:szCs w:val="28"/>
        </w:rPr>
        <w:t xml:space="preserve">mēneša darba </w:t>
      </w:r>
      <w:r w:rsidRPr="00C43BE8">
        <w:rPr>
          <w:sz w:val="28"/>
          <w:szCs w:val="28"/>
        </w:rPr>
        <w:t>algu no 3</w:t>
      </w:r>
      <w:r w:rsidR="00B81DB5">
        <w:rPr>
          <w:sz w:val="28"/>
          <w:szCs w:val="28"/>
        </w:rPr>
        <w:t>6</w:t>
      </w:r>
      <w:r w:rsidRPr="00C43BE8">
        <w:rPr>
          <w:sz w:val="28"/>
          <w:szCs w:val="28"/>
        </w:rPr>
        <w:t xml:space="preserve">0 </w:t>
      </w:r>
      <w:proofErr w:type="spellStart"/>
      <w:r w:rsidRPr="00C43BE8">
        <w:rPr>
          <w:i/>
          <w:sz w:val="28"/>
          <w:szCs w:val="28"/>
        </w:rPr>
        <w:t>euro</w:t>
      </w:r>
      <w:proofErr w:type="spellEnd"/>
      <w:r w:rsidRPr="00C43BE8">
        <w:rPr>
          <w:sz w:val="28"/>
          <w:szCs w:val="28"/>
        </w:rPr>
        <w:t xml:space="preserve"> </w:t>
      </w:r>
      <w:r w:rsidRPr="00C43BE8">
        <w:rPr>
          <w:b/>
          <w:sz w:val="28"/>
          <w:szCs w:val="28"/>
        </w:rPr>
        <w:t>līdz 3</w:t>
      </w:r>
      <w:r w:rsidR="00B81DB5">
        <w:rPr>
          <w:b/>
          <w:sz w:val="28"/>
          <w:szCs w:val="28"/>
        </w:rPr>
        <w:t>67</w:t>
      </w:r>
      <w:r w:rsidRPr="00C43BE8">
        <w:rPr>
          <w:b/>
          <w:sz w:val="28"/>
          <w:szCs w:val="28"/>
        </w:rPr>
        <w:t xml:space="preserve"> </w:t>
      </w:r>
      <w:proofErr w:type="spellStart"/>
      <w:r w:rsidRPr="00C43BE8">
        <w:rPr>
          <w:b/>
          <w:i/>
          <w:sz w:val="28"/>
          <w:szCs w:val="28"/>
        </w:rPr>
        <w:t>euro</w:t>
      </w:r>
      <w:proofErr w:type="spellEnd"/>
      <w:r w:rsidRPr="00C43BE8">
        <w:rPr>
          <w:sz w:val="28"/>
          <w:szCs w:val="28"/>
        </w:rPr>
        <w:t xml:space="preserve"> (</w:t>
      </w:r>
      <w:r w:rsidR="00B81DB5">
        <w:rPr>
          <w:sz w:val="28"/>
          <w:szCs w:val="28"/>
        </w:rPr>
        <w:t>1</w:t>
      </w:r>
      <w:r w:rsidRPr="00C43BE8">
        <w:rPr>
          <w:sz w:val="28"/>
          <w:szCs w:val="28"/>
        </w:rPr>
        <w:t>,</w:t>
      </w:r>
      <w:r w:rsidR="00B81DB5">
        <w:rPr>
          <w:sz w:val="28"/>
          <w:szCs w:val="28"/>
        </w:rPr>
        <w:t>9</w:t>
      </w:r>
      <w:r w:rsidRPr="00C43BE8">
        <w:rPr>
          <w:sz w:val="28"/>
          <w:szCs w:val="28"/>
        </w:rPr>
        <w:t>%) sākot ar 201</w:t>
      </w:r>
      <w:r w:rsidR="00B81DB5">
        <w:rPr>
          <w:sz w:val="28"/>
          <w:szCs w:val="28"/>
        </w:rPr>
        <w:t>6</w:t>
      </w:r>
      <w:r w:rsidRPr="00C43BE8">
        <w:rPr>
          <w:sz w:val="28"/>
          <w:szCs w:val="28"/>
        </w:rPr>
        <w:t>.gada 1.janvāri;</w:t>
      </w:r>
    </w:p>
    <w:p w:rsidR="00DB41A6" w:rsidRPr="00C43BE8" w:rsidRDefault="00DB41A6" w:rsidP="00DB41A6">
      <w:pPr>
        <w:jc w:val="both"/>
        <w:rPr>
          <w:sz w:val="28"/>
          <w:szCs w:val="28"/>
        </w:rPr>
      </w:pPr>
      <w:r w:rsidRPr="00C43BE8">
        <w:rPr>
          <w:b/>
          <w:sz w:val="28"/>
          <w:szCs w:val="28"/>
        </w:rPr>
        <w:t>3.variants</w:t>
      </w:r>
      <w:r w:rsidRPr="00C43BE8">
        <w:rPr>
          <w:sz w:val="28"/>
          <w:szCs w:val="28"/>
        </w:rPr>
        <w:t xml:space="preserve"> – paaugstināt minimālo </w:t>
      </w:r>
      <w:r w:rsidR="00D22039" w:rsidRPr="00C43BE8">
        <w:rPr>
          <w:sz w:val="28"/>
          <w:szCs w:val="28"/>
        </w:rPr>
        <w:t xml:space="preserve">mēneša darba </w:t>
      </w:r>
      <w:r w:rsidRPr="00C43BE8">
        <w:rPr>
          <w:sz w:val="28"/>
          <w:szCs w:val="28"/>
        </w:rPr>
        <w:t>algu no 3</w:t>
      </w:r>
      <w:r w:rsidR="00B81DB5">
        <w:rPr>
          <w:sz w:val="28"/>
          <w:szCs w:val="28"/>
        </w:rPr>
        <w:t>6</w:t>
      </w:r>
      <w:r w:rsidRPr="00C43BE8">
        <w:rPr>
          <w:sz w:val="28"/>
          <w:szCs w:val="28"/>
        </w:rPr>
        <w:t xml:space="preserve">0 </w:t>
      </w:r>
      <w:proofErr w:type="spellStart"/>
      <w:r w:rsidRPr="00C43BE8">
        <w:rPr>
          <w:i/>
          <w:sz w:val="28"/>
          <w:szCs w:val="28"/>
        </w:rPr>
        <w:t>euro</w:t>
      </w:r>
      <w:proofErr w:type="spellEnd"/>
      <w:r w:rsidRPr="00C43BE8">
        <w:rPr>
          <w:sz w:val="28"/>
          <w:szCs w:val="28"/>
        </w:rPr>
        <w:t xml:space="preserve"> </w:t>
      </w:r>
      <w:r w:rsidRPr="00C43BE8">
        <w:rPr>
          <w:b/>
          <w:sz w:val="28"/>
          <w:szCs w:val="28"/>
        </w:rPr>
        <w:t>līdz 3</w:t>
      </w:r>
      <w:r w:rsidR="00B81DB5">
        <w:rPr>
          <w:b/>
          <w:sz w:val="28"/>
          <w:szCs w:val="28"/>
        </w:rPr>
        <w:t>75</w:t>
      </w:r>
      <w:r w:rsidRPr="00C43BE8">
        <w:rPr>
          <w:b/>
          <w:sz w:val="28"/>
          <w:szCs w:val="28"/>
        </w:rPr>
        <w:t xml:space="preserve"> </w:t>
      </w:r>
      <w:proofErr w:type="spellStart"/>
      <w:r w:rsidRPr="00C43BE8">
        <w:rPr>
          <w:b/>
          <w:i/>
          <w:sz w:val="28"/>
          <w:szCs w:val="28"/>
        </w:rPr>
        <w:t>euro</w:t>
      </w:r>
      <w:proofErr w:type="spellEnd"/>
      <w:r w:rsidRPr="00C43BE8">
        <w:rPr>
          <w:sz w:val="28"/>
          <w:szCs w:val="28"/>
        </w:rPr>
        <w:t xml:space="preserve"> (4,</w:t>
      </w:r>
      <w:r w:rsidR="00B81DB5">
        <w:rPr>
          <w:sz w:val="28"/>
          <w:szCs w:val="28"/>
        </w:rPr>
        <w:t>2</w:t>
      </w:r>
      <w:r w:rsidRPr="00C43BE8">
        <w:rPr>
          <w:sz w:val="28"/>
          <w:szCs w:val="28"/>
        </w:rPr>
        <w:t>%) sākot ar 201</w:t>
      </w:r>
      <w:r w:rsidR="00B81DB5">
        <w:rPr>
          <w:sz w:val="28"/>
          <w:szCs w:val="28"/>
        </w:rPr>
        <w:t>6</w:t>
      </w:r>
      <w:r w:rsidRPr="00C43BE8">
        <w:rPr>
          <w:sz w:val="28"/>
          <w:szCs w:val="28"/>
        </w:rPr>
        <w:t>.gada 1.janvāri.</w:t>
      </w:r>
    </w:p>
    <w:p w:rsidR="00DB41A6" w:rsidRPr="00C43BE8" w:rsidRDefault="00DB41A6" w:rsidP="00DB41A6">
      <w:pPr>
        <w:jc w:val="both"/>
        <w:rPr>
          <w:sz w:val="28"/>
          <w:szCs w:val="28"/>
        </w:rPr>
      </w:pPr>
    </w:p>
    <w:p w:rsidR="00806140" w:rsidRPr="00C43BE8" w:rsidRDefault="00C22419" w:rsidP="00DE379A">
      <w:pPr>
        <w:ind w:firstLine="720"/>
        <w:jc w:val="both"/>
        <w:rPr>
          <w:sz w:val="28"/>
          <w:szCs w:val="28"/>
        </w:rPr>
      </w:pPr>
      <w:r w:rsidRPr="00C43BE8">
        <w:rPr>
          <w:sz w:val="28"/>
          <w:szCs w:val="28"/>
        </w:rPr>
        <w:t>Turpmāk</w:t>
      </w:r>
      <w:r w:rsidR="00DE379A" w:rsidRPr="00C43BE8">
        <w:rPr>
          <w:sz w:val="28"/>
          <w:szCs w:val="28"/>
        </w:rPr>
        <w:t xml:space="preserve"> </w:t>
      </w:r>
      <w:r w:rsidR="0055316E" w:rsidRPr="00C43BE8">
        <w:rPr>
          <w:sz w:val="28"/>
          <w:szCs w:val="28"/>
        </w:rPr>
        <w:t xml:space="preserve">ziņojumā </w:t>
      </w:r>
      <w:r w:rsidR="00806140" w:rsidRPr="00C43BE8">
        <w:rPr>
          <w:sz w:val="28"/>
          <w:szCs w:val="28"/>
        </w:rPr>
        <w:t>ti</w:t>
      </w:r>
      <w:r w:rsidR="005A34C1" w:rsidRPr="00C43BE8">
        <w:rPr>
          <w:sz w:val="28"/>
          <w:szCs w:val="28"/>
        </w:rPr>
        <w:t>e</w:t>
      </w:r>
      <w:r w:rsidR="00806140" w:rsidRPr="00C43BE8">
        <w:rPr>
          <w:sz w:val="28"/>
          <w:szCs w:val="28"/>
        </w:rPr>
        <w:t>k izvērtēt</w:t>
      </w:r>
      <w:r w:rsidR="0015253F" w:rsidRPr="00C43BE8">
        <w:rPr>
          <w:sz w:val="28"/>
          <w:szCs w:val="28"/>
        </w:rPr>
        <w:t>a</w:t>
      </w:r>
      <w:r w:rsidR="00806140" w:rsidRPr="00C43BE8">
        <w:rPr>
          <w:sz w:val="28"/>
          <w:szCs w:val="28"/>
        </w:rPr>
        <w:t xml:space="preserve"> </w:t>
      </w:r>
      <w:r w:rsidR="0015253F" w:rsidRPr="00C43BE8">
        <w:rPr>
          <w:sz w:val="28"/>
          <w:szCs w:val="28"/>
        </w:rPr>
        <w:t>ekonomiskā situācija valstī un citi rādītāji, kā arī Ekonomikas ministrij</w:t>
      </w:r>
      <w:r w:rsidR="00400709" w:rsidRPr="00C43BE8">
        <w:rPr>
          <w:sz w:val="28"/>
          <w:szCs w:val="28"/>
        </w:rPr>
        <w:t>as</w:t>
      </w:r>
      <w:r w:rsidR="0015253F" w:rsidRPr="00C43BE8">
        <w:rPr>
          <w:sz w:val="28"/>
          <w:szCs w:val="28"/>
        </w:rPr>
        <w:t xml:space="preserve"> un Finanšu ministrij</w:t>
      </w:r>
      <w:r w:rsidR="00400709" w:rsidRPr="00C43BE8">
        <w:rPr>
          <w:sz w:val="28"/>
          <w:szCs w:val="28"/>
        </w:rPr>
        <w:t>as</w:t>
      </w:r>
      <w:r w:rsidR="0015253F" w:rsidRPr="00C43BE8">
        <w:rPr>
          <w:sz w:val="28"/>
          <w:szCs w:val="28"/>
        </w:rPr>
        <w:t xml:space="preserve"> sniegti</w:t>
      </w:r>
      <w:r w:rsidR="00400709" w:rsidRPr="00C43BE8">
        <w:rPr>
          <w:sz w:val="28"/>
          <w:szCs w:val="28"/>
        </w:rPr>
        <w:t>e</w:t>
      </w:r>
      <w:r w:rsidR="0015253F" w:rsidRPr="00C43BE8">
        <w:rPr>
          <w:sz w:val="28"/>
          <w:szCs w:val="28"/>
        </w:rPr>
        <w:t xml:space="preserve"> priekšlikumi par minimālās mēneša darba algas apmēru 201</w:t>
      </w:r>
      <w:r w:rsidR="00B81DB5">
        <w:rPr>
          <w:sz w:val="28"/>
          <w:szCs w:val="28"/>
        </w:rPr>
        <w:t>6</w:t>
      </w:r>
      <w:r w:rsidR="0015253F" w:rsidRPr="00C43BE8">
        <w:rPr>
          <w:sz w:val="28"/>
          <w:szCs w:val="28"/>
        </w:rPr>
        <w:t>.gadā.</w:t>
      </w:r>
    </w:p>
    <w:p w:rsidR="00AB1C1B" w:rsidRPr="00C43BE8" w:rsidRDefault="00AB1C1B" w:rsidP="001647F2">
      <w:pPr>
        <w:ind w:right="-109"/>
        <w:jc w:val="both"/>
        <w:rPr>
          <w:sz w:val="28"/>
          <w:szCs w:val="28"/>
        </w:rPr>
      </w:pPr>
    </w:p>
    <w:p w:rsidR="001452B5" w:rsidRPr="00C43BE8" w:rsidRDefault="00753771" w:rsidP="001647F2">
      <w:pPr>
        <w:ind w:right="-109"/>
        <w:jc w:val="center"/>
        <w:rPr>
          <w:b/>
          <w:bCs/>
          <w:sz w:val="32"/>
          <w:szCs w:val="32"/>
        </w:rPr>
      </w:pPr>
      <w:r>
        <w:rPr>
          <w:b/>
          <w:bCs/>
          <w:sz w:val="32"/>
          <w:szCs w:val="32"/>
        </w:rPr>
        <w:t>2</w:t>
      </w:r>
      <w:r w:rsidR="00F23299">
        <w:rPr>
          <w:b/>
          <w:bCs/>
          <w:sz w:val="32"/>
          <w:szCs w:val="32"/>
        </w:rPr>
        <w:t>. Situācijas izklāsts</w:t>
      </w:r>
    </w:p>
    <w:p w:rsidR="001452B5" w:rsidRPr="00C43BE8" w:rsidRDefault="001452B5" w:rsidP="001452B5">
      <w:pPr>
        <w:ind w:right="-109"/>
        <w:rPr>
          <w:bCs/>
          <w:sz w:val="28"/>
          <w:szCs w:val="28"/>
        </w:rPr>
      </w:pPr>
    </w:p>
    <w:p w:rsidR="00534B55" w:rsidRPr="00C43BE8" w:rsidRDefault="00534B55" w:rsidP="0007447C">
      <w:pPr>
        <w:ind w:firstLine="720"/>
        <w:jc w:val="both"/>
        <w:rPr>
          <w:b/>
          <w:sz w:val="28"/>
          <w:szCs w:val="28"/>
        </w:rPr>
      </w:pPr>
      <w:r w:rsidRPr="00C43BE8">
        <w:rPr>
          <w:b/>
          <w:sz w:val="28"/>
          <w:szCs w:val="28"/>
        </w:rPr>
        <w:t xml:space="preserve">2.1. </w:t>
      </w:r>
      <w:r w:rsidR="000A10A6" w:rsidRPr="00C43BE8">
        <w:rPr>
          <w:b/>
          <w:sz w:val="28"/>
          <w:szCs w:val="28"/>
        </w:rPr>
        <w:t>Ekonomiskā situācija 201</w:t>
      </w:r>
      <w:r w:rsidR="00E767CE">
        <w:rPr>
          <w:b/>
          <w:sz w:val="28"/>
          <w:szCs w:val="28"/>
        </w:rPr>
        <w:t>3</w:t>
      </w:r>
      <w:r w:rsidR="000A10A6" w:rsidRPr="00C43BE8">
        <w:rPr>
          <w:b/>
          <w:sz w:val="28"/>
          <w:szCs w:val="28"/>
        </w:rPr>
        <w:t>. un 201</w:t>
      </w:r>
      <w:r w:rsidR="00E767CE">
        <w:rPr>
          <w:b/>
          <w:sz w:val="28"/>
          <w:szCs w:val="28"/>
        </w:rPr>
        <w:t>4</w:t>
      </w:r>
      <w:r w:rsidR="000A10A6" w:rsidRPr="00C43BE8">
        <w:rPr>
          <w:b/>
          <w:sz w:val="28"/>
          <w:szCs w:val="28"/>
        </w:rPr>
        <w:t>.gadā un izaugsmes perspektīvas 201</w:t>
      </w:r>
      <w:r w:rsidR="00E767CE">
        <w:rPr>
          <w:b/>
          <w:sz w:val="28"/>
          <w:szCs w:val="28"/>
        </w:rPr>
        <w:t>5</w:t>
      </w:r>
      <w:r w:rsidR="000A10A6" w:rsidRPr="00C43BE8">
        <w:rPr>
          <w:b/>
          <w:sz w:val="28"/>
          <w:szCs w:val="28"/>
        </w:rPr>
        <w:t>.</w:t>
      </w:r>
      <w:r w:rsidR="00E767CE">
        <w:rPr>
          <w:b/>
          <w:sz w:val="28"/>
          <w:szCs w:val="28"/>
        </w:rPr>
        <w:t xml:space="preserve"> un</w:t>
      </w:r>
      <w:r w:rsidR="000A10A6" w:rsidRPr="00C43BE8">
        <w:rPr>
          <w:b/>
          <w:sz w:val="28"/>
          <w:szCs w:val="28"/>
        </w:rPr>
        <w:t xml:space="preserve"> 201</w:t>
      </w:r>
      <w:r w:rsidR="00E767CE">
        <w:rPr>
          <w:b/>
          <w:sz w:val="28"/>
          <w:szCs w:val="28"/>
        </w:rPr>
        <w:t>6.gadam</w:t>
      </w:r>
    </w:p>
    <w:p w:rsidR="000F530F" w:rsidRPr="00E767CE" w:rsidRDefault="000F530F" w:rsidP="000F530F">
      <w:pPr>
        <w:ind w:firstLine="720"/>
        <w:jc w:val="both"/>
        <w:rPr>
          <w:sz w:val="28"/>
          <w:szCs w:val="28"/>
        </w:rPr>
      </w:pPr>
      <w:r w:rsidRPr="00E767CE">
        <w:rPr>
          <w:sz w:val="28"/>
          <w:szCs w:val="28"/>
        </w:rPr>
        <w:t xml:space="preserve">Lai arī 2013.gadā pieauga nenoteiktība ārējos tirgos un </w:t>
      </w:r>
      <w:r>
        <w:rPr>
          <w:sz w:val="28"/>
          <w:szCs w:val="28"/>
        </w:rPr>
        <w:t xml:space="preserve">ES </w:t>
      </w:r>
      <w:r w:rsidRPr="00E767CE">
        <w:rPr>
          <w:sz w:val="28"/>
          <w:szCs w:val="28"/>
        </w:rPr>
        <w:t xml:space="preserve">kopumā izaugsme bija vāja, Latvijas ekonomikā saglabājās stabili izaugsmes tempi. 2013.gadā </w:t>
      </w:r>
      <w:r w:rsidRPr="00C43BE8">
        <w:rPr>
          <w:sz w:val="28"/>
          <w:szCs w:val="28"/>
        </w:rPr>
        <w:t>iekšzemes kopprodukt</w:t>
      </w:r>
      <w:r>
        <w:rPr>
          <w:sz w:val="28"/>
          <w:szCs w:val="28"/>
        </w:rPr>
        <w:t>s</w:t>
      </w:r>
      <w:r w:rsidRPr="00C43BE8">
        <w:rPr>
          <w:sz w:val="28"/>
          <w:szCs w:val="28"/>
        </w:rPr>
        <w:t xml:space="preserve"> </w:t>
      </w:r>
      <w:r>
        <w:rPr>
          <w:sz w:val="28"/>
          <w:szCs w:val="28"/>
        </w:rPr>
        <w:t>(</w:t>
      </w:r>
      <w:r w:rsidRPr="00E767CE">
        <w:rPr>
          <w:sz w:val="28"/>
          <w:szCs w:val="28"/>
        </w:rPr>
        <w:t>IKP</w:t>
      </w:r>
      <w:r>
        <w:rPr>
          <w:sz w:val="28"/>
          <w:szCs w:val="28"/>
        </w:rPr>
        <w:t>)</w:t>
      </w:r>
      <w:r w:rsidRPr="00E767CE">
        <w:rPr>
          <w:sz w:val="28"/>
          <w:szCs w:val="28"/>
        </w:rPr>
        <w:t xml:space="preserve"> pieauga par 4,2%. 2014.gadā ekonomikas pieauguma tempi palēninājās, ko noteica tendences ārējā vidē – lēnāka nekā iepriekš gaidīta izaugsme ES, kā arī ekonomiskās situācijas pavājināšanās Krievijā. </w:t>
      </w:r>
      <w:r>
        <w:rPr>
          <w:sz w:val="28"/>
          <w:szCs w:val="28"/>
        </w:rPr>
        <w:t>2014.</w:t>
      </w:r>
      <w:r w:rsidRPr="00E767CE">
        <w:rPr>
          <w:sz w:val="28"/>
          <w:szCs w:val="28"/>
        </w:rPr>
        <w:t xml:space="preserve">gadā IKP pieaugums bija 2,4%. 2013. un 2014.gadā IKP pieaugumu lielā mērā nodrošināja privātā patēriņa kāpums, ko </w:t>
      </w:r>
      <w:r w:rsidRPr="00E767CE">
        <w:rPr>
          <w:sz w:val="28"/>
          <w:szCs w:val="28"/>
        </w:rPr>
        <w:lastRenderedPageBreak/>
        <w:t>sekmēja nodarbinātības un darba samaksas pieaugums. Neskatoties uz to, ka pēdējos gados Latvijas ekonomikā ir vērojama straujākā izaugsme ES, IKP vēl ir par 5% m</w:t>
      </w:r>
      <w:r>
        <w:rPr>
          <w:sz w:val="28"/>
          <w:szCs w:val="28"/>
        </w:rPr>
        <w:t>azāks nekā pirms krīzes – 2007.</w:t>
      </w:r>
      <w:r w:rsidRPr="00E767CE">
        <w:rPr>
          <w:sz w:val="28"/>
          <w:szCs w:val="28"/>
        </w:rPr>
        <w:t>gadā.</w:t>
      </w:r>
    </w:p>
    <w:p w:rsidR="0033110D" w:rsidRPr="00E767CE" w:rsidRDefault="0033110D" w:rsidP="0033110D">
      <w:pPr>
        <w:ind w:firstLine="720"/>
        <w:jc w:val="both"/>
        <w:rPr>
          <w:sz w:val="28"/>
          <w:szCs w:val="28"/>
        </w:rPr>
      </w:pPr>
      <w:r>
        <w:rPr>
          <w:sz w:val="28"/>
          <w:szCs w:val="28"/>
        </w:rPr>
        <w:t>Kopš 2010.</w:t>
      </w:r>
      <w:r w:rsidRPr="00E767CE">
        <w:rPr>
          <w:sz w:val="28"/>
          <w:szCs w:val="28"/>
        </w:rPr>
        <w:t>gada Latvijas preču un pakalpojumu eksports ir audzis strauji un ir galvenais tautsaimniecības attīstības dzinulis. Eksporta apjomi šobrīd jau vairāk kā par 20% pārsniedz pirmskrīzes līmeni. 2013.-2014.gadā zemais pieprasījums ārējos tirgos ir ietekmējis eksporta dinamiku</w:t>
      </w:r>
      <w:r>
        <w:rPr>
          <w:sz w:val="28"/>
          <w:szCs w:val="28"/>
        </w:rPr>
        <w:t>, un tā kļuvusi mērenāka. 2013.</w:t>
      </w:r>
      <w:r w:rsidRPr="00E767CE">
        <w:rPr>
          <w:sz w:val="28"/>
          <w:szCs w:val="28"/>
        </w:rPr>
        <w:t>gadā eksporta apj</w:t>
      </w:r>
      <w:r>
        <w:rPr>
          <w:sz w:val="28"/>
          <w:szCs w:val="28"/>
        </w:rPr>
        <w:t>omi pieauga par 1,4%, bet 2014.</w:t>
      </w:r>
      <w:r w:rsidRPr="00E767CE">
        <w:rPr>
          <w:sz w:val="28"/>
          <w:szCs w:val="28"/>
        </w:rPr>
        <w:t xml:space="preserve">gadā – par </w:t>
      </w:r>
      <w:r>
        <w:rPr>
          <w:sz w:val="28"/>
          <w:szCs w:val="28"/>
        </w:rPr>
        <w:t>2,2</w:t>
      </w:r>
      <w:r w:rsidRPr="00E767CE">
        <w:rPr>
          <w:sz w:val="28"/>
          <w:szCs w:val="28"/>
        </w:rPr>
        <w:t>%.</w:t>
      </w:r>
    </w:p>
    <w:p w:rsidR="00E767CE" w:rsidRPr="00E767CE" w:rsidRDefault="00E767CE" w:rsidP="00F26C70">
      <w:pPr>
        <w:ind w:firstLine="720"/>
        <w:jc w:val="both"/>
        <w:rPr>
          <w:sz w:val="28"/>
          <w:szCs w:val="28"/>
        </w:rPr>
      </w:pPr>
      <w:r w:rsidRPr="00E767CE">
        <w:rPr>
          <w:sz w:val="28"/>
          <w:szCs w:val="28"/>
        </w:rPr>
        <w:t>Eksporta turpmākās attīstības iespējas ietekmēs ne tikai ārējā pieprasījuma izmaiņas, bet arī Latvijas ražotāju konkurētspēja. Jāņem vērā, ka līdz šim Latvijas konkurētspējas uzlabošanos pamatā noteica darbaspēka izmaksu samazināšana, bet turpmāk izšķiroša loma būs spējai palielināt produktivitāti.</w:t>
      </w:r>
    </w:p>
    <w:p w:rsidR="00E767CE" w:rsidRPr="00E767CE" w:rsidRDefault="00E767CE" w:rsidP="00F26C70">
      <w:pPr>
        <w:ind w:firstLine="720"/>
        <w:jc w:val="both"/>
        <w:rPr>
          <w:sz w:val="28"/>
          <w:szCs w:val="28"/>
        </w:rPr>
      </w:pPr>
      <w:r w:rsidRPr="00E767CE">
        <w:rPr>
          <w:sz w:val="28"/>
          <w:szCs w:val="28"/>
        </w:rPr>
        <w:t>Piebremzējoties eksportam, pēdējos divos gados lielāks devums izaugsmē ir iekšzemes pieprasījumam. Nodarbinātības palielinājums un pakāpenisks darba samaksas kāpums sekmē privātā patēriņa pieaugumu. 2013.gadā privātais patēriņš pieauga par 6,2%, savukārt 2014.</w:t>
      </w:r>
      <w:r w:rsidR="00F26C70">
        <w:rPr>
          <w:sz w:val="28"/>
          <w:szCs w:val="28"/>
        </w:rPr>
        <w:t>g</w:t>
      </w:r>
      <w:r w:rsidRPr="00E767CE">
        <w:rPr>
          <w:sz w:val="28"/>
          <w:szCs w:val="28"/>
        </w:rPr>
        <w:t>adā – vien par 2,3%. 2014.gadā strauji pieauga darba samaksa, bet nodarbinātība nedaudz saruka.</w:t>
      </w:r>
    </w:p>
    <w:p w:rsidR="00F73A1D" w:rsidRPr="00E767CE" w:rsidRDefault="00F73A1D" w:rsidP="00F73A1D">
      <w:pPr>
        <w:ind w:firstLine="720"/>
        <w:jc w:val="both"/>
        <w:rPr>
          <w:sz w:val="28"/>
          <w:szCs w:val="28"/>
        </w:rPr>
      </w:pPr>
      <w:r w:rsidRPr="00E767CE">
        <w:rPr>
          <w:sz w:val="28"/>
          <w:szCs w:val="28"/>
        </w:rPr>
        <w:t>Pēdējos gados investīciju dinamika Latvijā ir diezgan svār</w:t>
      </w:r>
      <w:r>
        <w:rPr>
          <w:sz w:val="28"/>
          <w:szCs w:val="28"/>
        </w:rPr>
        <w:t>stīga. Krīzes laikā 2008.-2009.</w:t>
      </w:r>
      <w:r w:rsidRPr="00E767CE">
        <w:rPr>
          <w:sz w:val="28"/>
          <w:szCs w:val="28"/>
        </w:rPr>
        <w:t>gadā investīcijas būtis</w:t>
      </w:r>
      <w:r>
        <w:rPr>
          <w:sz w:val="28"/>
          <w:szCs w:val="28"/>
        </w:rPr>
        <w:t>ki samazinājās, bet 2011.-2012.gadā ievērojami pieauga. 2013.</w:t>
      </w:r>
      <w:r w:rsidRPr="00E767CE">
        <w:rPr>
          <w:sz w:val="28"/>
          <w:szCs w:val="28"/>
        </w:rPr>
        <w:t xml:space="preserve">gadā investīciju apjoms Latvijas tautsaimniecībā atkal samazinājās – tās bija par 5,2% mazākā apjomā nekā pirms gada, bet </w:t>
      </w:r>
      <w:r>
        <w:rPr>
          <w:sz w:val="28"/>
          <w:szCs w:val="28"/>
        </w:rPr>
        <w:t>2014.</w:t>
      </w:r>
      <w:r w:rsidRPr="00E767CE">
        <w:rPr>
          <w:sz w:val="28"/>
          <w:szCs w:val="28"/>
        </w:rPr>
        <w:t>gadā bija vērojams neliels investīciju pieaugums par 1,</w:t>
      </w:r>
      <w:r>
        <w:rPr>
          <w:sz w:val="28"/>
          <w:szCs w:val="28"/>
        </w:rPr>
        <w:t>3</w:t>
      </w:r>
      <w:r w:rsidRPr="00E767CE">
        <w:rPr>
          <w:sz w:val="28"/>
          <w:szCs w:val="28"/>
        </w:rPr>
        <w:t>%, tomēr vienlaikus tās bija par 30% zemākā līmenī nekā pirms krīzes. Zems banku kreditēšanas līmenis joprojām ir viens no investīcijas ierobežojošiem faktoriem. Jāatzīmē, ka būtiska ir valsts loma investēšanas procesā – vājas kreditēšanas apstākļos valsts nodrošina nozīmīgu atbalstu privātajām investīcijām, izmantojot ES struktūrfondu līdzfinansējumu.</w:t>
      </w:r>
    </w:p>
    <w:p w:rsidR="00E767CE" w:rsidRPr="00E767CE" w:rsidRDefault="00E767CE" w:rsidP="00F26C70">
      <w:pPr>
        <w:ind w:firstLine="720"/>
        <w:jc w:val="both"/>
        <w:rPr>
          <w:sz w:val="28"/>
          <w:szCs w:val="28"/>
        </w:rPr>
      </w:pPr>
      <w:r w:rsidRPr="00E767CE">
        <w:rPr>
          <w:sz w:val="28"/>
          <w:szCs w:val="28"/>
        </w:rPr>
        <w:t>Pakāpeniska ekonomisko aktivitāšu palielināšanās pozitīvi ietekmē situāciju darba tirgū. Tajā pašā laikā atsevišķas iedzīvotāju grupas, īpaši personas ar zemu izglītības līmeni un kvalifikāciju, gados vecāki cilvēki, kā arī jaunieši, situācijas uzlabošanos izjūt vājāk.</w:t>
      </w:r>
    </w:p>
    <w:p w:rsidR="00E767CE" w:rsidRPr="00E767CE" w:rsidRDefault="00E767CE" w:rsidP="00F26C70">
      <w:pPr>
        <w:ind w:firstLine="720"/>
        <w:jc w:val="both"/>
        <w:rPr>
          <w:sz w:val="28"/>
          <w:szCs w:val="28"/>
        </w:rPr>
      </w:pPr>
      <w:r w:rsidRPr="00E767CE">
        <w:rPr>
          <w:sz w:val="28"/>
          <w:szCs w:val="28"/>
        </w:rPr>
        <w:t xml:space="preserve">Saskaņā ar </w:t>
      </w:r>
      <w:r w:rsidR="00F26C70">
        <w:rPr>
          <w:sz w:val="28"/>
          <w:szCs w:val="28"/>
        </w:rPr>
        <w:t>Centrālās statistikas pārvaldes (</w:t>
      </w:r>
      <w:r w:rsidRPr="00E767CE">
        <w:rPr>
          <w:sz w:val="28"/>
          <w:szCs w:val="28"/>
        </w:rPr>
        <w:t>CSP</w:t>
      </w:r>
      <w:r w:rsidR="00F26C70">
        <w:rPr>
          <w:sz w:val="28"/>
          <w:szCs w:val="28"/>
        </w:rPr>
        <w:t>)</w:t>
      </w:r>
      <w:r w:rsidRPr="00E767CE">
        <w:rPr>
          <w:sz w:val="28"/>
          <w:szCs w:val="28"/>
        </w:rPr>
        <w:t xml:space="preserve"> darbaspēka apsekošanas datiem </w:t>
      </w:r>
      <w:r w:rsidR="00F26C70">
        <w:rPr>
          <w:sz w:val="28"/>
          <w:szCs w:val="28"/>
        </w:rPr>
        <w:t>2013.</w:t>
      </w:r>
      <w:r w:rsidRPr="00E767CE">
        <w:rPr>
          <w:sz w:val="28"/>
          <w:szCs w:val="28"/>
        </w:rPr>
        <w:t>gadā nodarbināto skaits palielinājās par 2,1%, kas bija s</w:t>
      </w:r>
      <w:r w:rsidR="00F26C70">
        <w:rPr>
          <w:sz w:val="28"/>
          <w:szCs w:val="28"/>
        </w:rPr>
        <w:t>traujākais pieaugums kopš 2008.</w:t>
      </w:r>
      <w:r w:rsidRPr="00E767CE">
        <w:rPr>
          <w:sz w:val="28"/>
          <w:szCs w:val="28"/>
        </w:rPr>
        <w:t>gada. Nodarbinātības līmenis iedzīvotāji</w:t>
      </w:r>
      <w:r w:rsidR="00F26C70">
        <w:rPr>
          <w:sz w:val="28"/>
          <w:szCs w:val="28"/>
        </w:rPr>
        <w:t>em vecumā no 15-74 gadiem 2013.</w:t>
      </w:r>
      <w:r w:rsidRPr="00E767CE">
        <w:rPr>
          <w:sz w:val="28"/>
          <w:szCs w:val="28"/>
        </w:rPr>
        <w:t>gadā palielinājās līdz 58,2%. Lai a</w:t>
      </w:r>
      <w:r w:rsidR="00F26C70">
        <w:rPr>
          <w:sz w:val="28"/>
          <w:szCs w:val="28"/>
        </w:rPr>
        <w:t>rī nodarbinātības līmenis 2014.</w:t>
      </w:r>
      <w:r w:rsidRPr="00E767CE">
        <w:rPr>
          <w:sz w:val="28"/>
          <w:szCs w:val="28"/>
        </w:rPr>
        <w:t>gadā turpināja pieaugt, nodarbināto iedzīvotāju skaits samazinājās par 1%</w:t>
      </w:r>
      <w:r w:rsidRPr="00E767CE">
        <w:rPr>
          <w:rStyle w:val="FootnoteReference"/>
          <w:sz w:val="28"/>
          <w:szCs w:val="28"/>
        </w:rPr>
        <w:footnoteReference w:id="1"/>
      </w:r>
      <w:r w:rsidRPr="00E767CE">
        <w:rPr>
          <w:sz w:val="28"/>
          <w:szCs w:val="28"/>
        </w:rPr>
        <w:t xml:space="preserve">. Kopumā 2014.gadā bija nodarbināti 885 tūkst. jeb 59,1% iedzīvotāju vecumā no 15-74 gadiem. Vienlaikus jāatzīmē, ka aizņemto darba vietu skaits 2014.gadā pieauga par 1,1%, bet </w:t>
      </w:r>
      <w:r w:rsidR="00F26C70">
        <w:rPr>
          <w:sz w:val="28"/>
          <w:szCs w:val="28"/>
        </w:rPr>
        <w:t>Valsts ieņēmumu dienesta (</w:t>
      </w:r>
      <w:r w:rsidRPr="00E767CE">
        <w:rPr>
          <w:sz w:val="28"/>
          <w:szCs w:val="28"/>
        </w:rPr>
        <w:t>VID</w:t>
      </w:r>
      <w:r w:rsidR="00F26C70">
        <w:rPr>
          <w:sz w:val="28"/>
          <w:szCs w:val="28"/>
        </w:rPr>
        <w:t>)</w:t>
      </w:r>
      <w:r w:rsidRPr="00E767CE">
        <w:rPr>
          <w:sz w:val="28"/>
          <w:szCs w:val="28"/>
        </w:rPr>
        <w:t xml:space="preserve"> statistika par darba ņēmēju skaita pieaugumu 2014.gadā uzrādīja 0,7%. Demogrāfijas tendenču </w:t>
      </w:r>
      <w:r w:rsidRPr="00E767CE">
        <w:rPr>
          <w:sz w:val="28"/>
          <w:szCs w:val="28"/>
        </w:rPr>
        <w:lastRenderedPageBreak/>
        <w:t>ietekmē 2013.-2014.gadā samazinājās ekonomiski aktīvo iedzīvotāju skaits, kas kopā ar nodarbinātības pieaugumu sekmēja arī straujāku bezdarba samazi</w:t>
      </w:r>
      <w:r w:rsidR="00F26C70">
        <w:rPr>
          <w:sz w:val="28"/>
          <w:szCs w:val="28"/>
        </w:rPr>
        <w:t>nāšanos. Bezdarba līmenis 2013.</w:t>
      </w:r>
      <w:r w:rsidRPr="00E767CE">
        <w:rPr>
          <w:sz w:val="28"/>
          <w:szCs w:val="28"/>
        </w:rPr>
        <w:t>gadā samazinājās par 3,2</w:t>
      </w:r>
      <w:r w:rsidR="00F26C70">
        <w:rPr>
          <w:sz w:val="28"/>
          <w:szCs w:val="28"/>
        </w:rPr>
        <w:t> </w:t>
      </w:r>
      <w:r w:rsidRPr="00E767CE">
        <w:rPr>
          <w:sz w:val="28"/>
          <w:szCs w:val="28"/>
        </w:rPr>
        <w:t xml:space="preserve">procentpunktiem – līdz 11,9%, bet 2014.gadā par </w:t>
      </w:r>
      <w:r w:rsidR="00F26C70">
        <w:rPr>
          <w:sz w:val="28"/>
          <w:szCs w:val="28"/>
        </w:rPr>
        <w:t>1,1 procentpunktu – līdz 10,8 </w:t>
      </w:r>
      <w:r w:rsidRPr="00E767CE">
        <w:rPr>
          <w:sz w:val="28"/>
          <w:szCs w:val="28"/>
        </w:rPr>
        <w:t>procentiem.</w:t>
      </w:r>
    </w:p>
    <w:p w:rsidR="00E767CE" w:rsidRPr="00E767CE" w:rsidRDefault="00E767CE" w:rsidP="00B911EF">
      <w:pPr>
        <w:ind w:firstLine="720"/>
        <w:jc w:val="both"/>
        <w:rPr>
          <w:sz w:val="28"/>
          <w:szCs w:val="28"/>
        </w:rPr>
      </w:pPr>
      <w:r w:rsidRPr="00E767CE">
        <w:rPr>
          <w:sz w:val="28"/>
          <w:szCs w:val="28"/>
        </w:rPr>
        <w:t>Krīzes laikā atalgojuma korekcija bija salīdzinoši mērena, lielāko daļu ekonomikas apjomu krituma ir kompensējis strādājošo skaita samazinājums. Stabilizējoties ekono</w:t>
      </w:r>
      <w:r w:rsidR="00B911EF">
        <w:rPr>
          <w:sz w:val="28"/>
          <w:szCs w:val="28"/>
        </w:rPr>
        <w:t>miskajai situācijai, kopš 2010.</w:t>
      </w:r>
      <w:r w:rsidRPr="00E767CE">
        <w:rPr>
          <w:sz w:val="28"/>
          <w:szCs w:val="28"/>
        </w:rPr>
        <w:t>gada beigām ir</w:t>
      </w:r>
      <w:r w:rsidR="00B911EF">
        <w:rPr>
          <w:sz w:val="28"/>
          <w:szCs w:val="28"/>
        </w:rPr>
        <w:t xml:space="preserve"> atsācies atalgojuma pieaugums.</w:t>
      </w:r>
    </w:p>
    <w:p w:rsidR="00E767CE" w:rsidRPr="00E767CE" w:rsidRDefault="00E767CE" w:rsidP="00B911EF">
      <w:pPr>
        <w:ind w:firstLine="720"/>
        <w:jc w:val="both"/>
        <w:rPr>
          <w:sz w:val="28"/>
          <w:szCs w:val="28"/>
        </w:rPr>
      </w:pPr>
      <w:r w:rsidRPr="00E767CE">
        <w:rPr>
          <w:sz w:val="28"/>
          <w:szCs w:val="28"/>
        </w:rPr>
        <w:t>Augot pieprasījumam pēc darbaspēka, vidējā bruto darba samaksa pakāpeniski palielinās. Darba samaksas pieaugums 2013.gadā (bruto darba samaksa par 4,6% un neto darba samaksa par 5,6%) jāraksturo kā būtisks, jo reālās darba samaksas pieaugums bija 5,6%, kas atbilst neto darba samaksas pieaugumam (inflācijas līmenis 2013.gadā nemainījās salīdzinot ar 2012.gadu). Vēl straujāk</w:t>
      </w:r>
      <w:r w:rsidR="00B911EF">
        <w:rPr>
          <w:sz w:val="28"/>
          <w:szCs w:val="28"/>
        </w:rPr>
        <w:t xml:space="preserve"> algas turpināja augt 2014.</w:t>
      </w:r>
      <w:r w:rsidRPr="00E767CE">
        <w:rPr>
          <w:sz w:val="28"/>
          <w:szCs w:val="28"/>
        </w:rPr>
        <w:t>gadā (bruto algas par 6,8% un neto par 8,6%). Pateicoties zemai inflācijai, arī 2014.gadā reālās darba samaksas pieaugums bija atbilstošs neto algas pieaugumam – par 8%.</w:t>
      </w:r>
    </w:p>
    <w:p w:rsidR="00E767CE" w:rsidRPr="00B911EF" w:rsidRDefault="00E767CE" w:rsidP="00B911EF">
      <w:pPr>
        <w:ind w:firstLine="720"/>
        <w:jc w:val="both"/>
        <w:rPr>
          <w:b/>
          <w:sz w:val="28"/>
          <w:szCs w:val="28"/>
        </w:rPr>
      </w:pPr>
      <w:r w:rsidRPr="00E767CE">
        <w:rPr>
          <w:sz w:val="28"/>
          <w:szCs w:val="28"/>
        </w:rPr>
        <w:t xml:space="preserve">Turpmākā Latvijas tautsaimniecības attīstība joprojām būs cieši saistīta ar eksporta iespējām, tāpēc lielākais Latvijas izaugsmes risks ir saistīts ar globālās ekonomikas attīstību. Preču un pakalpojumu eksporta apjomi 2015.gadā būs tuvi pagājušā gada līmenim. Eksporta pieaugumu vismaz gada pirmajā pusē ietekmēs Krievijas noteiktie pārtikas importa ierobežojumi. Vēl nozīmīgāku ietekmi uz Latvijas eksporta iespējām atstās faktori, kas saistīti ar Krievijas ekonomikas problēmām – valūtas kursa krišanās, reģiona uzticības zaudēšana investoru acīs, pieprasījuma vājināšanās. Pozitīvi Latvijas eksporta dinamiku varētu ietekmēt ekonomiskās situācijas uzlabošanās lielākajā noieta tirgū – ES. Sagaidāms, ka 2015.gadā turpinās augt privātais patēriņš. Tā dinamiku pamatā noteiks darba samaksas kāpums, kas gan būs lēnāks nekā 2014.gadā. Arī darba tirgū uzlabojumi šogad būs mērenāki nekā pērn. Ekonomikas ministrija prognozē, ka būtiski nepasliktinoties ģeopolitiskajai situācijai reģionā, </w:t>
      </w:r>
      <w:r w:rsidRPr="00B911EF">
        <w:rPr>
          <w:b/>
          <w:sz w:val="28"/>
          <w:szCs w:val="28"/>
        </w:rPr>
        <w:t>Latvijas ekonomikas izaugsme kopumā 2015.gadā varētu sasniegt 2</w:t>
      </w:r>
      <w:r w:rsidR="00B911EF" w:rsidRPr="00B911EF">
        <w:rPr>
          <w:b/>
          <w:sz w:val="28"/>
          <w:szCs w:val="28"/>
        </w:rPr>
        <w:t> </w:t>
      </w:r>
      <w:r w:rsidRPr="00B911EF">
        <w:rPr>
          <w:b/>
          <w:sz w:val="28"/>
          <w:szCs w:val="28"/>
        </w:rPr>
        <w:t>procentus.</w:t>
      </w:r>
    </w:p>
    <w:p w:rsidR="00B911EF" w:rsidRPr="00C43BE8" w:rsidRDefault="00E767CE" w:rsidP="00B911EF">
      <w:pPr>
        <w:ind w:firstLine="709"/>
        <w:jc w:val="both"/>
        <w:rPr>
          <w:sz w:val="28"/>
          <w:szCs w:val="28"/>
        </w:rPr>
      </w:pPr>
      <w:r w:rsidRPr="00E767CE">
        <w:rPr>
          <w:sz w:val="28"/>
          <w:szCs w:val="28"/>
        </w:rPr>
        <w:t xml:space="preserve">Uzlabojoties gan ekonomiskajai situācijai </w:t>
      </w:r>
      <w:r w:rsidR="00B911EF">
        <w:rPr>
          <w:sz w:val="28"/>
          <w:szCs w:val="28"/>
        </w:rPr>
        <w:t>ES</w:t>
      </w:r>
      <w:r w:rsidRPr="00E767CE">
        <w:rPr>
          <w:sz w:val="28"/>
          <w:szCs w:val="28"/>
        </w:rPr>
        <w:t xml:space="preserve">, gan ģeopolitiskajai situācijai saistībā ar Ukrainas krīzi, </w:t>
      </w:r>
      <w:r w:rsidRPr="00B911EF">
        <w:rPr>
          <w:b/>
          <w:sz w:val="28"/>
          <w:szCs w:val="28"/>
        </w:rPr>
        <w:t>2016.gadā izaugsme varētu sasniegt 3</w:t>
      </w:r>
      <w:r w:rsidR="00B911EF" w:rsidRPr="00B911EF">
        <w:rPr>
          <w:b/>
          <w:sz w:val="28"/>
          <w:szCs w:val="28"/>
        </w:rPr>
        <w:t> </w:t>
      </w:r>
      <w:r w:rsidRPr="00B911EF">
        <w:rPr>
          <w:b/>
          <w:sz w:val="28"/>
          <w:szCs w:val="28"/>
        </w:rPr>
        <w:t>procentus.</w:t>
      </w:r>
      <w:r w:rsidR="00B911EF">
        <w:rPr>
          <w:sz w:val="28"/>
          <w:szCs w:val="28"/>
        </w:rPr>
        <w:t xml:space="preserve"> </w:t>
      </w:r>
      <w:r w:rsidR="00B911EF" w:rsidRPr="00C43BE8">
        <w:rPr>
          <w:sz w:val="28"/>
          <w:szCs w:val="28"/>
        </w:rPr>
        <w:t>Ekonomikas ministrija ir veikusi makroekonomiskās prognozes, kas atspoguļotas tabulas veidā (skat. 1.tabulu).</w:t>
      </w:r>
    </w:p>
    <w:p w:rsidR="00E767CE" w:rsidRPr="00E767CE" w:rsidRDefault="00E767CE" w:rsidP="00B911EF">
      <w:pPr>
        <w:jc w:val="both"/>
        <w:rPr>
          <w:sz w:val="28"/>
          <w:szCs w:val="28"/>
        </w:rPr>
      </w:pPr>
    </w:p>
    <w:p w:rsidR="00E767CE" w:rsidRDefault="00B911EF" w:rsidP="00B911EF">
      <w:pPr>
        <w:jc w:val="right"/>
        <w:rPr>
          <w:sz w:val="28"/>
          <w:szCs w:val="28"/>
        </w:rPr>
      </w:pPr>
      <w:r>
        <w:rPr>
          <w:sz w:val="28"/>
          <w:szCs w:val="28"/>
        </w:rPr>
        <w:t>1.tabula</w:t>
      </w:r>
    </w:p>
    <w:p w:rsidR="00B911EF" w:rsidRPr="00E767CE" w:rsidRDefault="00B911EF" w:rsidP="00710541">
      <w:pPr>
        <w:rPr>
          <w:sz w:val="28"/>
          <w:szCs w:val="28"/>
        </w:rPr>
      </w:pPr>
    </w:p>
    <w:p w:rsidR="00E767CE" w:rsidRPr="00D02E79" w:rsidRDefault="00E767CE" w:rsidP="00E767CE">
      <w:pPr>
        <w:jc w:val="center"/>
        <w:rPr>
          <w:b/>
        </w:rPr>
      </w:pPr>
      <w:r w:rsidRPr="00D02E79">
        <w:rPr>
          <w:b/>
        </w:rPr>
        <w:t>Makroekonomiskie rādītāji 201</w:t>
      </w:r>
      <w:r>
        <w:rPr>
          <w:b/>
        </w:rPr>
        <w:t>3</w:t>
      </w:r>
      <w:r w:rsidRPr="00D02E79">
        <w:rPr>
          <w:b/>
        </w:rPr>
        <w:t>.gadā</w:t>
      </w:r>
      <w:r>
        <w:rPr>
          <w:b/>
        </w:rPr>
        <w:t xml:space="preserve"> un 2014.gadā</w:t>
      </w:r>
      <w:r w:rsidRPr="00D02E79">
        <w:rPr>
          <w:b/>
        </w:rPr>
        <w:t xml:space="preserve"> un Ekonomikas ministrijas makroekonomisko rādīt</w:t>
      </w:r>
      <w:r>
        <w:rPr>
          <w:b/>
        </w:rPr>
        <w:t>āju prognozes 2015. un 2016.gadam</w:t>
      </w:r>
    </w:p>
    <w:tbl>
      <w:tblPr>
        <w:tblStyle w:val="TableGrid"/>
        <w:tblW w:w="5000" w:type="pct"/>
        <w:jc w:val="center"/>
        <w:tblLook w:val="04A0" w:firstRow="1" w:lastRow="0" w:firstColumn="1" w:lastColumn="0" w:noHBand="0" w:noVBand="1"/>
      </w:tblPr>
      <w:tblGrid>
        <w:gridCol w:w="4295"/>
        <w:gridCol w:w="1250"/>
        <w:gridCol w:w="1248"/>
        <w:gridCol w:w="1248"/>
        <w:gridCol w:w="1246"/>
      </w:tblGrid>
      <w:tr w:rsidR="00E767CE" w:rsidRPr="00447609" w:rsidTr="00423BAD">
        <w:trPr>
          <w:jc w:val="center"/>
        </w:trPr>
        <w:tc>
          <w:tcPr>
            <w:tcW w:w="2312" w:type="pct"/>
          </w:tcPr>
          <w:p w:rsidR="00E767CE" w:rsidRPr="00447609" w:rsidRDefault="00E767CE" w:rsidP="00423BAD">
            <w:pPr>
              <w:spacing w:before="20" w:after="20"/>
              <w:jc w:val="both"/>
            </w:pPr>
          </w:p>
        </w:tc>
        <w:tc>
          <w:tcPr>
            <w:tcW w:w="673" w:type="pct"/>
          </w:tcPr>
          <w:p w:rsidR="00E767CE" w:rsidRPr="00447609" w:rsidRDefault="00E767CE" w:rsidP="00423BAD">
            <w:pPr>
              <w:spacing w:before="20" w:after="20"/>
              <w:jc w:val="center"/>
              <w:rPr>
                <w:b/>
              </w:rPr>
            </w:pPr>
            <w:r w:rsidRPr="00447609">
              <w:rPr>
                <w:b/>
              </w:rPr>
              <w:t>201</w:t>
            </w:r>
            <w:r>
              <w:rPr>
                <w:b/>
              </w:rPr>
              <w:t>3</w:t>
            </w:r>
          </w:p>
        </w:tc>
        <w:tc>
          <w:tcPr>
            <w:tcW w:w="672" w:type="pct"/>
          </w:tcPr>
          <w:p w:rsidR="00E767CE" w:rsidRPr="00447609" w:rsidRDefault="00E767CE" w:rsidP="00423BAD">
            <w:pPr>
              <w:spacing w:before="20" w:after="20"/>
              <w:jc w:val="center"/>
              <w:rPr>
                <w:b/>
              </w:rPr>
            </w:pPr>
            <w:r w:rsidRPr="00447609">
              <w:rPr>
                <w:b/>
              </w:rPr>
              <w:t>201</w:t>
            </w:r>
            <w:r>
              <w:rPr>
                <w:b/>
              </w:rPr>
              <w:t>4</w:t>
            </w:r>
          </w:p>
        </w:tc>
        <w:tc>
          <w:tcPr>
            <w:tcW w:w="672" w:type="pct"/>
          </w:tcPr>
          <w:p w:rsidR="00E767CE" w:rsidRPr="00447609" w:rsidRDefault="00E767CE" w:rsidP="00423BAD">
            <w:pPr>
              <w:spacing w:before="20" w:after="20"/>
              <w:jc w:val="center"/>
              <w:rPr>
                <w:b/>
              </w:rPr>
            </w:pPr>
            <w:r w:rsidRPr="00447609">
              <w:rPr>
                <w:b/>
              </w:rPr>
              <w:t>201</w:t>
            </w:r>
            <w:r>
              <w:rPr>
                <w:b/>
              </w:rPr>
              <w:t>5</w:t>
            </w:r>
            <w:r w:rsidRPr="00447609">
              <w:rPr>
                <w:b/>
              </w:rPr>
              <w:t>p</w:t>
            </w:r>
          </w:p>
        </w:tc>
        <w:tc>
          <w:tcPr>
            <w:tcW w:w="671" w:type="pct"/>
          </w:tcPr>
          <w:p w:rsidR="00E767CE" w:rsidRPr="00447609" w:rsidRDefault="00E767CE" w:rsidP="00423BAD">
            <w:pPr>
              <w:spacing w:before="20" w:after="20"/>
              <w:jc w:val="center"/>
              <w:rPr>
                <w:b/>
              </w:rPr>
            </w:pPr>
            <w:r w:rsidRPr="00447609">
              <w:rPr>
                <w:b/>
              </w:rPr>
              <w:t>201</w:t>
            </w:r>
            <w:r>
              <w:rPr>
                <w:b/>
              </w:rPr>
              <w:t>6</w:t>
            </w:r>
            <w:r w:rsidRPr="00447609">
              <w:rPr>
                <w:b/>
              </w:rPr>
              <w:t>p</w:t>
            </w:r>
          </w:p>
        </w:tc>
      </w:tr>
      <w:tr w:rsidR="00E767CE" w:rsidRPr="00447609" w:rsidTr="00423BAD">
        <w:trPr>
          <w:trHeight w:val="343"/>
          <w:jc w:val="center"/>
        </w:trPr>
        <w:tc>
          <w:tcPr>
            <w:tcW w:w="2312" w:type="pct"/>
          </w:tcPr>
          <w:p w:rsidR="00E767CE" w:rsidRPr="00447609" w:rsidRDefault="00E767CE" w:rsidP="00423BAD">
            <w:pPr>
              <w:spacing w:before="20" w:after="20"/>
            </w:pPr>
            <w:r w:rsidRPr="00447609">
              <w:t>IKP (salīdzināmās cenās, milj. EUR)</w:t>
            </w:r>
          </w:p>
        </w:tc>
        <w:tc>
          <w:tcPr>
            <w:tcW w:w="673" w:type="pct"/>
          </w:tcPr>
          <w:p w:rsidR="00E767CE" w:rsidRPr="00447609" w:rsidRDefault="00E767CE" w:rsidP="00423BAD">
            <w:pPr>
              <w:spacing w:before="20" w:after="20"/>
              <w:jc w:val="center"/>
            </w:pPr>
            <w:r>
              <w:t>20841</w:t>
            </w:r>
          </w:p>
        </w:tc>
        <w:tc>
          <w:tcPr>
            <w:tcW w:w="672" w:type="pct"/>
          </w:tcPr>
          <w:p w:rsidR="00E767CE" w:rsidRPr="00447609" w:rsidRDefault="00E767CE" w:rsidP="00423BAD">
            <w:pPr>
              <w:spacing w:before="20" w:after="20"/>
              <w:jc w:val="center"/>
            </w:pPr>
            <w:r>
              <w:t>21333</w:t>
            </w:r>
          </w:p>
        </w:tc>
        <w:tc>
          <w:tcPr>
            <w:tcW w:w="672" w:type="pct"/>
          </w:tcPr>
          <w:p w:rsidR="00E767CE" w:rsidRPr="00190834" w:rsidRDefault="00E767CE" w:rsidP="00423BAD">
            <w:pPr>
              <w:spacing w:before="20" w:after="20"/>
              <w:jc w:val="center"/>
            </w:pPr>
            <w:r w:rsidRPr="00190834">
              <w:t>21746</w:t>
            </w:r>
          </w:p>
        </w:tc>
        <w:tc>
          <w:tcPr>
            <w:tcW w:w="671" w:type="pct"/>
          </w:tcPr>
          <w:p w:rsidR="00E767CE" w:rsidRPr="00190834" w:rsidRDefault="00E767CE" w:rsidP="00423BAD">
            <w:pPr>
              <w:spacing w:before="20" w:after="20"/>
              <w:jc w:val="center"/>
            </w:pPr>
            <w:r w:rsidRPr="00190834">
              <w:t>22388</w:t>
            </w:r>
          </w:p>
        </w:tc>
      </w:tr>
      <w:tr w:rsidR="00E767CE" w:rsidRPr="00447609" w:rsidTr="00423BAD">
        <w:trPr>
          <w:jc w:val="center"/>
        </w:trPr>
        <w:tc>
          <w:tcPr>
            <w:tcW w:w="2312" w:type="pct"/>
          </w:tcPr>
          <w:p w:rsidR="00E767CE" w:rsidRPr="00447609" w:rsidRDefault="00E767CE" w:rsidP="00423BAD">
            <w:pPr>
              <w:spacing w:before="20" w:after="20"/>
            </w:pPr>
            <w:r w:rsidRPr="00447609">
              <w:t>IKP (faktiskajās cenās, milj. EUR)</w:t>
            </w:r>
          </w:p>
        </w:tc>
        <w:tc>
          <w:tcPr>
            <w:tcW w:w="673" w:type="pct"/>
          </w:tcPr>
          <w:p w:rsidR="00E767CE" w:rsidRPr="00447609" w:rsidRDefault="00E767CE" w:rsidP="00423BAD">
            <w:pPr>
              <w:spacing w:before="20" w:after="20"/>
              <w:jc w:val="center"/>
            </w:pPr>
            <w:r w:rsidRPr="00447609">
              <w:t>23</w:t>
            </w:r>
            <w:r>
              <w:t>222</w:t>
            </w:r>
          </w:p>
        </w:tc>
        <w:tc>
          <w:tcPr>
            <w:tcW w:w="672" w:type="pct"/>
          </w:tcPr>
          <w:p w:rsidR="00E767CE" w:rsidRPr="00447609" w:rsidRDefault="00E767CE" w:rsidP="00423BAD">
            <w:pPr>
              <w:spacing w:before="20" w:after="20"/>
              <w:jc w:val="center"/>
            </w:pPr>
            <w:r w:rsidRPr="00447609">
              <w:t>2</w:t>
            </w:r>
            <w:r>
              <w:t>4058</w:t>
            </w:r>
          </w:p>
        </w:tc>
        <w:tc>
          <w:tcPr>
            <w:tcW w:w="672" w:type="pct"/>
          </w:tcPr>
          <w:p w:rsidR="00E767CE" w:rsidRPr="00190834" w:rsidRDefault="00E767CE" w:rsidP="00423BAD">
            <w:pPr>
              <w:spacing w:before="20" w:after="20"/>
              <w:jc w:val="center"/>
            </w:pPr>
            <w:r w:rsidRPr="00190834">
              <w:t>24764</w:t>
            </w:r>
          </w:p>
        </w:tc>
        <w:tc>
          <w:tcPr>
            <w:tcW w:w="671" w:type="pct"/>
          </w:tcPr>
          <w:p w:rsidR="00E767CE" w:rsidRPr="00190834" w:rsidRDefault="00E767CE" w:rsidP="00423BAD">
            <w:pPr>
              <w:spacing w:before="20" w:after="20"/>
              <w:jc w:val="center"/>
            </w:pPr>
            <w:r w:rsidRPr="00190834">
              <w:t>25869</w:t>
            </w:r>
          </w:p>
        </w:tc>
      </w:tr>
      <w:tr w:rsidR="00E767CE" w:rsidRPr="00447609" w:rsidTr="00423BAD">
        <w:trPr>
          <w:jc w:val="center"/>
        </w:trPr>
        <w:tc>
          <w:tcPr>
            <w:tcW w:w="2312" w:type="pct"/>
          </w:tcPr>
          <w:p w:rsidR="00E767CE" w:rsidRPr="00447609" w:rsidRDefault="00E767CE" w:rsidP="00423BAD">
            <w:pPr>
              <w:spacing w:before="20" w:after="20"/>
            </w:pPr>
            <w:r w:rsidRPr="00447609">
              <w:t>IKP pieaugums (salīdzināmās cenās, %)</w:t>
            </w:r>
          </w:p>
        </w:tc>
        <w:tc>
          <w:tcPr>
            <w:tcW w:w="673" w:type="pct"/>
          </w:tcPr>
          <w:p w:rsidR="00E767CE" w:rsidRPr="00447609" w:rsidRDefault="00E767CE" w:rsidP="00423BAD">
            <w:pPr>
              <w:spacing w:before="20" w:after="20"/>
              <w:jc w:val="center"/>
            </w:pPr>
            <w:r w:rsidRPr="00447609">
              <w:t>4,</w:t>
            </w:r>
            <w:r>
              <w:t>2</w:t>
            </w:r>
          </w:p>
        </w:tc>
        <w:tc>
          <w:tcPr>
            <w:tcW w:w="672" w:type="pct"/>
          </w:tcPr>
          <w:p w:rsidR="00E767CE" w:rsidRPr="00447609" w:rsidRDefault="00E767CE" w:rsidP="00423BAD">
            <w:pPr>
              <w:spacing w:before="20" w:after="20"/>
              <w:jc w:val="center"/>
            </w:pPr>
            <w:r>
              <w:t>2,4</w:t>
            </w:r>
          </w:p>
        </w:tc>
        <w:tc>
          <w:tcPr>
            <w:tcW w:w="672" w:type="pct"/>
          </w:tcPr>
          <w:p w:rsidR="00E767CE" w:rsidRPr="00190834" w:rsidRDefault="00E767CE" w:rsidP="00423BAD">
            <w:pPr>
              <w:spacing w:before="20" w:after="20"/>
              <w:jc w:val="center"/>
            </w:pPr>
            <w:r w:rsidRPr="00190834">
              <w:t>2,0</w:t>
            </w:r>
          </w:p>
        </w:tc>
        <w:tc>
          <w:tcPr>
            <w:tcW w:w="671" w:type="pct"/>
          </w:tcPr>
          <w:p w:rsidR="00E767CE" w:rsidRPr="00190834" w:rsidRDefault="00E767CE" w:rsidP="00423BAD">
            <w:pPr>
              <w:spacing w:before="20" w:after="20"/>
              <w:jc w:val="center"/>
            </w:pPr>
            <w:r w:rsidRPr="00190834">
              <w:t>3,0</w:t>
            </w:r>
          </w:p>
        </w:tc>
      </w:tr>
      <w:tr w:rsidR="00E767CE" w:rsidRPr="00447609" w:rsidTr="00423BAD">
        <w:trPr>
          <w:jc w:val="center"/>
        </w:trPr>
        <w:tc>
          <w:tcPr>
            <w:tcW w:w="2312" w:type="pct"/>
          </w:tcPr>
          <w:p w:rsidR="00E767CE" w:rsidRPr="00447609" w:rsidRDefault="00E767CE" w:rsidP="00423BAD">
            <w:pPr>
              <w:spacing w:before="20" w:after="20"/>
            </w:pPr>
            <w:r w:rsidRPr="00447609">
              <w:lastRenderedPageBreak/>
              <w:t>IKP pieaugums (faktiskajās cenās, %)</w:t>
            </w:r>
          </w:p>
        </w:tc>
        <w:tc>
          <w:tcPr>
            <w:tcW w:w="673" w:type="pct"/>
          </w:tcPr>
          <w:p w:rsidR="00E767CE" w:rsidRPr="00447609" w:rsidRDefault="00E767CE" w:rsidP="00F73A1D">
            <w:pPr>
              <w:spacing w:before="20" w:after="20"/>
              <w:jc w:val="center"/>
            </w:pPr>
            <w:r>
              <w:t>5,</w:t>
            </w:r>
            <w:r w:rsidR="00F73A1D">
              <w:t>3</w:t>
            </w:r>
          </w:p>
        </w:tc>
        <w:tc>
          <w:tcPr>
            <w:tcW w:w="672" w:type="pct"/>
          </w:tcPr>
          <w:p w:rsidR="00E767CE" w:rsidRPr="00447609" w:rsidRDefault="00E767CE" w:rsidP="00423BAD">
            <w:pPr>
              <w:spacing w:before="20" w:after="20"/>
              <w:jc w:val="center"/>
            </w:pPr>
            <w:r>
              <w:t>3,6</w:t>
            </w:r>
          </w:p>
        </w:tc>
        <w:tc>
          <w:tcPr>
            <w:tcW w:w="672" w:type="pct"/>
          </w:tcPr>
          <w:p w:rsidR="00E767CE" w:rsidRPr="00190834" w:rsidRDefault="00E767CE" w:rsidP="00423BAD">
            <w:pPr>
              <w:spacing w:before="20" w:after="20"/>
              <w:jc w:val="center"/>
            </w:pPr>
            <w:r w:rsidRPr="00190834">
              <w:t>3,0</w:t>
            </w:r>
          </w:p>
        </w:tc>
        <w:tc>
          <w:tcPr>
            <w:tcW w:w="671" w:type="pct"/>
          </w:tcPr>
          <w:p w:rsidR="00E767CE" w:rsidRPr="00190834" w:rsidRDefault="00E767CE" w:rsidP="00423BAD">
            <w:pPr>
              <w:spacing w:before="20" w:after="20"/>
              <w:jc w:val="center"/>
            </w:pPr>
            <w:r w:rsidRPr="00190834">
              <w:t>4,5</w:t>
            </w:r>
          </w:p>
        </w:tc>
      </w:tr>
      <w:tr w:rsidR="00E767CE" w:rsidRPr="00447609" w:rsidTr="00423BAD">
        <w:trPr>
          <w:jc w:val="center"/>
        </w:trPr>
        <w:tc>
          <w:tcPr>
            <w:tcW w:w="2312" w:type="pct"/>
          </w:tcPr>
          <w:p w:rsidR="00E767CE" w:rsidRPr="00447609" w:rsidRDefault="00E767CE" w:rsidP="00423BAD">
            <w:pPr>
              <w:spacing w:before="20" w:after="20"/>
            </w:pPr>
            <w:r w:rsidRPr="00447609">
              <w:t>Nodarbināto iedzīvotāju skaits (tūkst.)</w:t>
            </w:r>
          </w:p>
        </w:tc>
        <w:tc>
          <w:tcPr>
            <w:tcW w:w="673" w:type="pct"/>
          </w:tcPr>
          <w:p w:rsidR="00E767CE" w:rsidRPr="00447609" w:rsidRDefault="00E767CE" w:rsidP="00423BAD">
            <w:pPr>
              <w:spacing w:before="20" w:after="20"/>
              <w:jc w:val="center"/>
            </w:pPr>
            <w:r>
              <w:t>893</w:t>
            </w:r>
            <w:r w:rsidRPr="00447609">
              <w:t>,</w:t>
            </w:r>
            <w:r>
              <w:t>9</w:t>
            </w:r>
          </w:p>
        </w:tc>
        <w:tc>
          <w:tcPr>
            <w:tcW w:w="672" w:type="pct"/>
          </w:tcPr>
          <w:p w:rsidR="00E767CE" w:rsidRPr="00447609" w:rsidRDefault="00E767CE" w:rsidP="00423BAD">
            <w:pPr>
              <w:spacing w:before="20" w:after="20"/>
              <w:jc w:val="center"/>
            </w:pPr>
            <w:r>
              <w:t>884,6</w:t>
            </w:r>
          </w:p>
        </w:tc>
        <w:tc>
          <w:tcPr>
            <w:tcW w:w="672" w:type="pct"/>
          </w:tcPr>
          <w:p w:rsidR="00E767CE" w:rsidRPr="00190834" w:rsidRDefault="00E767CE" w:rsidP="00423BAD">
            <w:pPr>
              <w:spacing w:before="20" w:after="20"/>
              <w:jc w:val="center"/>
            </w:pPr>
            <w:r w:rsidRPr="00190834">
              <w:t>886,5</w:t>
            </w:r>
          </w:p>
        </w:tc>
        <w:tc>
          <w:tcPr>
            <w:tcW w:w="671" w:type="pct"/>
          </w:tcPr>
          <w:p w:rsidR="00E767CE" w:rsidRPr="00190834" w:rsidRDefault="00E767CE" w:rsidP="00423BAD">
            <w:pPr>
              <w:spacing w:before="20" w:after="20"/>
              <w:jc w:val="center"/>
            </w:pPr>
            <w:r w:rsidRPr="00190834">
              <w:t>890,1</w:t>
            </w:r>
          </w:p>
        </w:tc>
      </w:tr>
      <w:tr w:rsidR="00E767CE" w:rsidRPr="00447609" w:rsidTr="00423BAD">
        <w:trPr>
          <w:jc w:val="center"/>
        </w:trPr>
        <w:tc>
          <w:tcPr>
            <w:tcW w:w="2312" w:type="pct"/>
          </w:tcPr>
          <w:p w:rsidR="00E767CE" w:rsidRPr="00447609" w:rsidRDefault="00E767CE" w:rsidP="00423BAD">
            <w:pPr>
              <w:spacing w:before="20" w:after="20"/>
            </w:pPr>
            <w:r w:rsidRPr="00447609">
              <w:t>Bezdarba līmenis (%)</w:t>
            </w:r>
          </w:p>
        </w:tc>
        <w:tc>
          <w:tcPr>
            <w:tcW w:w="673" w:type="pct"/>
          </w:tcPr>
          <w:p w:rsidR="00E767CE" w:rsidRPr="00447609" w:rsidRDefault="00E767CE" w:rsidP="00423BAD">
            <w:pPr>
              <w:spacing w:before="20" w:after="20"/>
              <w:jc w:val="center"/>
            </w:pPr>
            <w:r w:rsidRPr="00447609">
              <w:t>1</w:t>
            </w:r>
            <w:r>
              <w:t>1</w:t>
            </w:r>
            <w:r w:rsidRPr="00447609">
              <w:t>,</w:t>
            </w:r>
            <w:r>
              <w:t>9</w:t>
            </w:r>
          </w:p>
        </w:tc>
        <w:tc>
          <w:tcPr>
            <w:tcW w:w="672" w:type="pct"/>
          </w:tcPr>
          <w:p w:rsidR="00E767CE" w:rsidRPr="00447609" w:rsidRDefault="00E767CE" w:rsidP="00423BAD">
            <w:pPr>
              <w:spacing w:before="20" w:after="20"/>
              <w:jc w:val="center"/>
            </w:pPr>
            <w:r>
              <w:t>10,8</w:t>
            </w:r>
          </w:p>
        </w:tc>
        <w:tc>
          <w:tcPr>
            <w:tcW w:w="672" w:type="pct"/>
          </w:tcPr>
          <w:p w:rsidR="00E767CE" w:rsidRPr="00190834" w:rsidRDefault="00E767CE" w:rsidP="00423BAD">
            <w:pPr>
              <w:spacing w:before="20" w:after="20"/>
              <w:jc w:val="center"/>
            </w:pPr>
            <w:r w:rsidRPr="00190834">
              <w:t>9,8</w:t>
            </w:r>
          </w:p>
        </w:tc>
        <w:tc>
          <w:tcPr>
            <w:tcW w:w="671" w:type="pct"/>
          </w:tcPr>
          <w:p w:rsidR="00E767CE" w:rsidRPr="00190834" w:rsidRDefault="00E767CE" w:rsidP="00423BAD">
            <w:pPr>
              <w:spacing w:before="20" w:after="20"/>
              <w:jc w:val="center"/>
            </w:pPr>
            <w:r w:rsidRPr="00190834">
              <w:t>9,3</w:t>
            </w:r>
          </w:p>
        </w:tc>
      </w:tr>
      <w:tr w:rsidR="00E767CE" w:rsidRPr="00447609" w:rsidTr="00423BAD">
        <w:trPr>
          <w:jc w:val="center"/>
        </w:trPr>
        <w:tc>
          <w:tcPr>
            <w:tcW w:w="2312" w:type="pct"/>
          </w:tcPr>
          <w:p w:rsidR="00E767CE" w:rsidRPr="00447609" w:rsidRDefault="00E767CE" w:rsidP="00423BAD">
            <w:pPr>
              <w:spacing w:before="20" w:after="20"/>
            </w:pPr>
            <w:r w:rsidRPr="00447609">
              <w:t>Produktivitāte (salīdzināmās cenās)</w:t>
            </w:r>
          </w:p>
        </w:tc>
        <w:tc>
          <w:tcPr>
            <w:tcW w:w="673" w:type="pct"/>
          </w:tcPr>
          <w:p w:rsidR="00E767CE" w:rsidRPr="00447609" w:rsidRDefault="00E767CE" w:rsidP="00423BAD">
            <w:pPr>
              <w:spacing w:before="20" w:after="20"/>
              <w:jc w:val="center"/>
            </w:pPr>
            <w:r>
              <w:t>23315</w:t>
            </w:r>
          </w:p>
        </w:tc>
        <w:tc>
          <w:tcPr>
            <w:tcW w:w="672" w:type="pct"/>
          </w:tcPr>
          <w:p w:rsidR="00E767CE" w:rsidRPr="00447609" w:rsidRDefault="00E767CE" w:rsidP="00423BAD">
            <w:pPr>
              <w:spacing w:before="20" w:after="20"/>
              <w:jc w:val="center"/>
            </w:pPr>
            <w:r>
              <w:t>24116</w:t>
            </w:r>
          </w:p>
        </w:tc>
        <w:tc>
          <w:tcPr>
            <w:tcW w:w="672" w:type="pct"/>
          </w:tcPr>
          <w:p w:rsidR="00E767CE" w:rsidRPr="00190834" w:rsidRDefault="00E767CE" w:rsidP="00423BAD">
            <w:pPr>
              <w:spacing w:before="20" w:after="20"/>
              <w:jc w:val="center"/>
            </w:pPr>
            <w:r w:rsidRPr="00190834">
              <w:t>24530</w:t>
            </w:r>
          </w:p>
        </w:tc>
        <w:tc>
          <w:tcPr>
            <w:tcW w:w="671" w:type="pct"/>
          </w:tcPr>
          <w:p w:rsidR="00E767CE" w:rsidRPr="00190834" w:rsidRDefault="00E767CE" w:rsidP="00423BAD">
            <w:pPr>
              <w:spacing w:before="20" w:after="20"/>
              <w:jc w:val="center"/>
            </w:pPr>
            <w:r w:rsidRPr="00190834">
              <w:t>25152</w:t>
            </w:r>
          </w:p>
        </w:tc>
      </w:tr>
      <w:tr w:rsidR="00E767CE" w:rsidRPr="00447609" w:rsidTr="00423BAD">
        <w:trPr>
          <w:jc w:val="center"/>
        </w:trPr>
        <w:tc>
          <w:tcPr>
            <w:tcW w:w="2312" w:type="pct"/>
          </w:tcPr>
          <w:p w:rsidR="00E767CE" w:rsidRPr="00447609" w:rsidRDefault="00E767CE" w:rsidP="00423BAD">
            <w:pPr>
              <w:tabs>
                <w:tab w:val="left" w:pos="1442"/>
              </w:tabs>
              <w:spacing w:before="20" w:after="20"/>
            </w:pPr>
            <w:r>
              <w:t xml:space="preserve">Produktivitātes </w:t>
            </w:r>
            <w:r w:rsidRPr="00447609">
              <w:t>pieaugums (%)</w:t>
            </w:r>
          </w:p>
        </w:tc>
        <w:tc>
          <w:tcPr>
            <w:tcW w:w="673" w:type="pct"/>
          </w:tcPr>
          <w:p w:rsidR="00E767CE" w:rsidRPr="00447609" w:rsidRDefault="00E767CE" w:rsidP="00423BAD">
            <w:pPr>
              <w:spacing w:before="20" w:after="20"/>
              <w:jc w:val="center"/>
            </w:pPr>
            <w:r>
              <w:t>2,0</w:t>
            </w:r>
          </w:p>
        </w:tc>
        <w:tc>
          <w:tcPr>
            <w:tcW w:w="672" w:type="pct"/>
          </w:tcPr>
          <w:p w:rsidR="00E767CE" w:rsidRPr="00447609" w:rsidRDefault="00E767CE" w:rsidP="00423BAD">
            <w:pPr>
              <w:spacing w:before="20" w:after="20"/>
              <w:jc w:val="center"/>
            </w:pPr>
            <w:r>
              <w:t>3,4</w:t>
            </w:r>
          </w:p>
        </w:tc>
        <w:tc>
          <w:tcPr>
            <w:tcW w:w="672" w:type="pct"/>
          </w:tcPr>
          <w:p w:rsidR="00E767CE" w:rsidRPr="00190834" w:rsidRDefault="00E767CE" w:rsidP="00423BAD">
            <w:pPr>
              <w:spacing w:before="20" w:after="20"/>
              <w:jc w:val="center"/>
            </w:pPr>
            <w:r w:rsidRPr="00190834">
              <w:t>1,7</w:t>
            </w:r>
          </w:p>
        </w:tc>
        <w:tc>
          <w:tcPr>
            <w:tcW w:w="671" w:type="pct"/>
          </w:tcPr>
          <w:p w:rsidR="00E767CE" w:rsidRPr="00190834" w:rsidRDefault="00E767CE" w:rsidP="00423BAD">
            <w:pPr>
              <w:spacing w:before="20" w:after="20"/>
              <w:jc w:val="center"/>
            </w:pPr>
            <w:r w:rsidRPr="00190834">
              <w:t>2,5</w:t>
            </w:r>
          </w:p>
        </w:tc>
      </w:tr>
      <w:tr w:rsidR="00E767CE" w:rsidRPr="00447609" w:rsidTr="00423BAD">
        <w:trPr>
          <w:jc w:val="center"/>
        </w:trPr>
        <w:tc>
          <w:tcPr>
            <w:tcW w:w="2312" w:type="pct"/>
          </w:tcPr>
          <w:p w:rsidR="00E767CE" w:rsidRPr="00447609" w:rsidRDefault="00E767CE" w:rsidP="00423BAD">
            <w:pPr>
              <w:spacing w:before="20" w:after="20"/>
            </w:pPr>
            <w:r>
              <w:t>Vidējā b</w:t>
            </w:r>
            <w:r w:rsidRPr="00447609">
              <w:t>ruto alga (mēnesī, EUR)</w:t>
            </w:r>
          </w:p>
        </w:tc>
        <w:tc>
          <w:tcPr>
            <w:tcW w:w="673" w:type="pct"/>
          </w:tcPr>
          <w:p w:rsidR="00E767CE" w:rsidRPr="00447609" w:rsidRDefault="00E767CE" w:rsidP="00423BAD">
            <w:pPr>
              <w:spacing w:before="20" w:after="20"/>
              <w:jc w:val="center"/>
            </w:pPr>
            <w:r>
              <w:t>716</w:t>
            </w:r>
          </w:p>
        </w:tc>
        <w:tc>
          <w:tcPr>
            <w:tcW w:w="672" w:type="pct"/>
          </w:tcPr>
          <w:p w:rsidR="00E767CE" w:rsidRPr="00447609" w:rsidRDefault="00E767CE" w:rsidP="00423BAD">
            <w:pPr>
              <w:spacing w:before="20" w:after="20"/>
              <w:jc w:val="center"/>
            </w:pPr>
            <w:r>
              <w:t>765</w:t>
            </w:r>
          </w:p>
        </w:tc>
        <w:tc>
          <w:tcPr>
            <w:tcW w:w="672" w:type="pct"/>
          </w:tcPr>
          <w:p w:rsidR="00E767CE" w:rsidRPr="00190834" w:rsidRDefault="00E767CE" w:rsidP="00423BAD">
            <w:pPr>
              <w:spacing w:before="20" w:after="20"/>
              <w:jc w:val="center"/>
            </w:pPr>
            <w:r w:rsidRPr="00190834">
              <w:t>79</w:t>
            </w:r>
            <w:r>
              <w:t>6</w:t>
            </w:r>
          </w:p>
        </w:tc>
        <w:tc>
          <w:tcPr>
            <w:tcW w:w="671" w:type="pct"/>
          </w:tcPr>
          <w:p w:rsidR="00E767CE" w:rsidRPr="00190834" w:rsidRDefault="00E767CE" w:rsidP="00423BAD">
            <w:pPr>
              <w:spacing w:before="20" w:after="20"/>
              <w:jc w:val="center"/>
            </w:pPr>
            <w:r w:rsidRPr="00190834">
              <w:t>8</w:t>
            </w:r>
            <w:r>
              <w:t>25</w:t>
            </w:r>
          </w:p>
        </w:tc>
      </w:tr>
      <w:tr w:rsidR="00E767CE" w:rsidRPr="00447609" w:rsidTr="00423BAD">
        <w:trPr>
          <w:jc w:val="center"/>
        </w:trPr>
        <w:tc>
          <w:tcPr>
            <w:tcW w:w="2312" w:type="pct"/>
          </w:tcPr>
          <w:p w:rsidR="00E767CE" w:rsidRPr="00447609" w:rsidRDefault="00E767CE" w:rsidP="00423BAD">
            <w:pPr>
              <w:tabs>
                <w:tab w:val="left" w:pos="1456"/>
              </w:tabs>
              <w:spacing w:before="20" w:after="20"/>
            </w:pPr>
            <w:r>
              <w:t>Vidējās b</w:t>
            </w:r>
            <w:r w:rsidRPr="00447609">
              <w:t>ruto alga</w:t>
            </w:r>
            <w:r>
              <w:t xml:space="preserve">s </w:t>
            </w:r>
            <w:r w:rsidRPr="00447609">
              <w:t>pieaugums (%)</w:t>
            </w:r>
          </w:p>
        </w:tc>
        <w:tc>
          <w:tcPr>
            <w:tcW w:w="673" w:type="pct"/>
          </w:tcPr>
          <w:p w:rsidR="00E767CE" w:rsidRPr="00447609" w:rsidRDefault="00E767CE" w:rsidP="00423BAD">
            <w:pPr>
              <w:spacing w:before="20" w:after="20"/>
              <w:jc w:val="center"/>
            </w:pPr>
            <w:r>
              <w:t>4,6</w:t>
            </w:r>
          </w:p>
        </w:tc>
        <w:tc>
          <w:tcPr>
            <w:tcW w:w="672" w:type="pct"/>
          </w:tcPr>
          <w:p w:rsidR="00E767CE" w:rsidRPr="00447609" w:rsidRDefault="00E767CE" w:rsidP="00423BAD">
            <w:pPr>
              <w:spacing w:before="20" w:after="20"/>
              <w:jc w:val="center"/>
            </w:pPr>
            <w:r>
              <w:t>6,8</w:t>
            </w:r>
          </w:p>
        </w:tc>
        <w:tc>
          <w:tcPr>
            <w:tcW w:w="672" w:type="pct"/>
          </w:tcPr>
          <w:p w:rsidR="00E767CE" w:rsidRPr="00190834" w:rsidRDefault="00E767CE" w:rsidP="00423BAD">
            <w:pPr>
              <w:spacing w:before="20" w:after="20"/>
              <w:jc w:val="center"/>
            </w:pPr>
            <w:r>
              <w:t>4,1</w:t>
            </w:r>
          </w:p>
        </w:tc>
        <w:tc>
          <w:tcPr>
            <w:tcW w:w="671" w:type="pct"/>
          </w:tcPr>
          <w:p w:rsidR="00E767CE" w:rsidRPr="00190834" w:rsidRDefault="00E767CE" w:rsidP="00423BAD">
            <w:pPr>
              <w:spacing w:before="20" w:after="20"/>
              <w:jc w:val="center"/>
            </w:pPr>
            <w:r>
              <w:t>3,6</w:t>
            </w:r>
          </w:p>
        </w:tc>
      </w:tr>
      <w:tr w:rsidR="00E767CE" w:rsidRPr="00447609" w:rsidTr="00423BAD">
        <w:trPr>
          <w:jc w:val="center"/>
        </w:trPr>
        <w:tc>
          <w:tcPr>
            <w:tcW w:w="2312" w:type="pct"/>
          </w:tcPr>
          <w:p w:rsidR="00E767CE" w:rsidRPr="00447609" w:rsidRDefault="00E767CE" w:rsidP="00423BAD">
            <w:pPr>
              <w:spacing w:before="20" w:after="20"/>
            </w:pPr>
            <w:r w:rsidRPr="00447609">
              <w:t xml:space="preserve">Patēriņa cenu </w:t>
            </w:r>
            <w:r>
              <w:t>indekss</w:t>
            </w:r>
            <w:r w:rsidRPr="00447609">
              <w:t xml:space="preserve"> (</w:t>
            </w:r>
            <w:r>
              <w:t xml:space="preserve">gada vidējais, </w:t>
            </w:r>
            <w:r w:rsidRPr="00447609">
              <w:t>%)</w:t>
            </w:r>
          </w:p>
        </w:tc>
        <w:tc>
          <w:tcPr>
            <w:tcW w:w="673" w:type="pct"/>
          </w:tcPr>
          <w:p w:rsidR="00E767CE" w:rsidRPr="00447609" w:rsidRDefault="00E767CE" w:rsidP="00423BAD">
            <w:pPr>
              <w:spacing w:before="20" w:after="20"/>
              <w:jc w:val="center"/>
            </w:pPr>
            <w:r>
              <w:t>0,0</w:t>
            </w:r>
          </w:p>
        </w:tc>
        <w:tc>
          <w:tcPr>
            <w:tcW w:w="672" w:type="pct"/>
          </w:tcPr>
          <w:p w:rsidR="00E767CE" w:rsidRPr="00447609" w:rsidRDefault="00E767CE" w:rsidP="00423BAD">
            <w:pPr>
              <w:spacing w:before="20" w:after="20"/>
              <w:jc w:val="center"/>
            </w:pPr>
            <w:r>
              <w:t>0,6</w:t>
            </w:r>
          </w:p>
        </w:tc>
        <w:tc>
          <w:tcPr>
            <w:tcW w:w="672" w:type="pct"/>
          </w:tcPr>
          <w:p w:rsidR="00E767CE" w:rsidRPr="00447609" w:rsidRDefault="00E767CE" w:rsidP="00423BAD">
            <w:pPr>
              <w:spacing w:before="20" w:after="20"/>
              <w:jc w:val="center"/>
            </w:pPr>
            <w:r>
              <w:t>0,5</w:t>
            </w:r>
          </w:p>
        </w:tc>
        <w:tc>
          <w:tcPr>
            <w:tcW w:w="671" w:type="pct"/>
          </w:tcPr>
          <w:p w:rsidR="00E767CE" w:rsidRPr="00447609" w:rsidRDefault="00E767CE" w:rsidP="00423BAD">
            <w:pPr>
              <w:spacing w:before="20" w:after="20"/>
              <w:jc w:val="center"/>
            </w:pPr>
            <w:r>
              <w:t>1,5</w:t>
            </w:r>
          </w:p>
        </w:tc>
      </w:tr>
    </w:tbl>
    <w:p w:rsidR="00E767CE" w:rsidRPr="00447609" w:rsidRDefault="00E767CE" w:rsidP="00E767CE">
      <w:pPr>
        <w:jc w:val="both"/>
        <w:rPr>
          <w:sz w:val="8"/>
        </w:rPr>
      </w:pPr>
    </w:p>
    <w:p w:rsidR="00E767CE" w:rsidRDefault="00E767CE" w:rsidP="00E767CE">
      <w:pPr>
        <w:jc w:val="both"/>
      </w:pPr>
      <w:r w:rsidRPr="00447609">
        <w:t>p – Ekonomikas ministrijas prognozes</w:t>
      </w:r>
    </w:p>
    <w:p w:rsidR="00E767CE" w:rsidRDefault="00E767CE" w:rsidP="00E767CE">
      <w:pPr>
        <w:jc w:val="both"/>
      </w:pPr>
    </w:p>
    <w:p w:rsidR="00C60993" w:rsidRPr="00C43BE8" w:rsidRDefault="00C60993" w:rsidP="00C60993">
      <w:pPr>
        <w:ind w:firstLine="709"/>
        <w:jc w:val="both"/>
        <w:rPr>
          <w:sz w:val="28"/>
          <w:szCs w:val="28"/>
        </w:rPr>
      </w:pPr>
      <w:r w:rsidRPr="00C43BE8">
        <w:rPr>
          <w:sz w:val="28"/>
          <w:szCs w:val="28"/>
        </w:rPr>
        <w:t>Ņemot vērā to, ka valsts fiskālās politikas pamatā ir Finanšu ministrijas izstrādātās makroekonomisko rādītāju prognozes, tad papildus sniedzam arī jaunākās Finanšu ministrijas makroekonomisko rādītāju prognozes (skat. 2.tabulu).</w:t>
      </w:r>
    </w:p>
    <w:p w:rsidR="00C60993" w:rsidRPr="00C60993" w:rsidRDefault="00C60993" w:rsidP="00E767CE">
      <w:pPr>
        <w:jc w:val="both"/>
        <w:rPr>
          <w:sz w:val="28"/>
          <w:szCs w:val="28"/>
        </w:rPr>
      </w:pPr>
    </w:p>
    <w:p w:rsidR="00C60993" w:rsidRPr="00C60993" w:rsidRDefault="00C60993" w:rsidP="00C60993">
      <w:pPr>
        <w:jc w:val="right"/>
        <w:rPr>
          <w:sz w:val="28"/>
          <w:szCs w:val="28"/>
        </w:rPr>
      </w:pPr>
      <w:r w:rsidRPr="00C60993">
        <w:rPr>
          <w:sz w:val="28"/>
          <w:szCs w:val="28"/>
        </w:rPr>
        <w:t>2.tabula</w:t>
      </w:r>
    </w:p>
    <w:p w:rsidR="00C60993" w:rsidRPr="00C60993" w:rsidRDefault="00C60993" w:rsidP="00E767CE">
      <w:pPr>
        <w:jc w:val="both"/>
        <w:rPr>
          <w:sz w:val="28"/>
          <w:szCs w:val="28"/>
        </w:rPr>
      </w:pPr>
    </w:p>
    <w:p w:rsidR="00C60993" w:rsidRPr="000C4BFD" w:rsidRDefault="00C60993" w:rsidP="00C97A60">
      <w:pPr>
        <w:jc w:val="center"/>
        <w:rPr>
          <w:b/>
        </w:rPr>
      </w:pPr>
      <w:r w:rsidRPr="000C4BFD">
        <w:rPr>
          <w:b/>
        </w:rPr>
        <w:t>Makroekonomiskie rādītāji 2013. un 2</w:t>
      </w:r>
      <w:r w:rsidR="00C97A60">
        <w:rPr>
          <w:b/>
        </w:rPr>
        <w:t>014.gadā un Finanšu ministrijas</w:t>
      </w:r>
    </w:p>
    <w:p w:rsidR="00C60993" w:rsidRPr="000C4BFD" w:rsidRDefault="00C60993" w:rsidP="00C97A60">
      <w:pPr>
        <w:jc w:val="center"/>
        <w:rPr>
          <w:b/>
        </w:rPr>
      </w:pPr>
      <w:r w:rsidRPr="000C4BFD">
        <w:rPr>
          <w:b/>
        </w:rPr>
        <w:t>makroekonomisko rādītāju prognozes 2015.-2016.gadam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1134"/>
        <w:gridCol w:w="1134"/>
        <w:gridCol w:w="1275"/>
        <w:gridCol w:w="1134"/>
      </w:tblGrid>
      <w:tr w:rsidR="00C60993" w:rsidRPr="000C4BFD" w:rsidTr="00423BAD">
        <w:tc>
          <w:tcPr>
            <w:tcW w:w="4390" w:type="dxa"/>
            <w:tcMar>
              <w:top w:w="0" w:type="dxa"/>
              <w:left w:w="108" w:type="dxa"/>
              <w:bottom w:w="0" w:type="dxa"/>
              <w:right w:w="108" w:type="dxa"/>
            </w:tcMar>
          </w:tcPr>
          <w:p w:rsidR="00C60993" w:rsidRPr="000C4BFD" w:rsidRDefault="00C60993" w:rsidP="00C97A60">
            <w:pPr>
              <w:pStyle w:val="BodyText2"/>
              <w:spacing w:after="0" w:line="240" w:lineRule="auto"/>
            </w:pPr>
          </w:p>
        </w:tc>
        <w:tc>
          <w:tcPr>
            <w:tcW w:w="1134" w:type="dxa"/>
            <w:tcMar>
              <w:top w:w="0" w:type="dxa"/>
              <w:left w:w="108" w:type="dxa"/>
              <w:bottom w:w="0" w:type="dxa"/>
              <w:right w:w="108" w:type="dxa"/>
            </w:tcMar>
            <w:hideMark/>
          </w:tcPr>
          <w:p w:rsidR="00C60993" w:rsidRPr="000C4BFD" w:rsidRDefault="00C60993" w:rsidP="00C97A60">
            <w:pPr>
              <w:pStyle w:val="BodyText2"/>
              <w:spacing w:after="0" w:line="240" w:lineRule="auto"/>
              <w:jc w:val="center"/>
              <w:rPr>
                <w:b/>
                <w:bCs/>
              </w:rPr>
            </w:pPr>
            <w:r w:rsidRPr="000C4BFD">
              <w:rPr>
                <w:b/>
                <w:bCs/>
              </w:rPr>
              <w:t>2013</w:t>
            </w:r>
          </w:p>
        </w:tc>
        <w:tc>
          <w:tcPr>
            <w:tcW w:w="1134" w:type="dxa"/>
            <w:tcMar>
              <w:top w:w="0" w:type="dxa"/>
              <w:left w:w="108" w:type="dxa"/>
              <w:bottom w:w="0" w:type="dxa"/>
              <w:right w:w="108" w:type="dxa"/>
            </w:tcMar>
            <w:hideMark/>
          </w:tcPr>
          <w:p w:rsidR="00C60993" w:rsidRPr="000C4BFD" w:rsidRDefault="00C60993" w:rsidP="00C97A60">
            <w:pPr>
              <w:pStyle w:val="BodyText2"/>
              <w:spacing w:after="0" w:line="240" w:lineRule="auto"/>
              <w:jc w:val="center"/>
              <w:rPr>
                <w:b/>
                <w:bCs/>
              </w:rPr>
            </w:pPr>
            <w:r w:rsidRPr="000C4BFD">
              <w:rPr>
                <w:b/>
                <w:bCs/>
              </w:rPr>
              <w:t>2014</w:t>
            </w:r>
          </w:p>
        </w:tc>
        <w:tc>
          <w:tcPr>
            <w:tcW w:w="1275" w:type="dxa"/>
            <w:tcMar>
              <w:top w:w="0" w:type="dxa"/>
              <w:left w:w="108" w:type="dxa"/>
              <w:bottom w:w="0" w:type="dxa"/>
              <w:right w:w="108" w:type="dxa"/>
            </w:tcMar>
            <w:hideMark/>
          </w:tcPr>
          <w:p w:rsidR="00C60993" w:rsidRPr="000C4BFD" w:rsidRDefault="00C60993" w:rsidP="00C97A60">
            <w:pPr>
              <w:pStyle w:val="BodyText2"/>
              <w:spacing w:after="0" w:line="240" w:lineRule="auto"/>
              <w:jc w:val="center"/>
              <w:rPr>
                <w:b/>
                <w:bCs/>
              </w:rPr>
            </w:pPr>
            <w:r w:rsidRPr="000C4BFD">
              <w:rPr>
                <w:b/>
                <w:bCs/>
              </w:rPr>
              <w:t>2015p</w:t>
            </w:r>
          </w:p>
        </w:tc>
        <w:tc>
          <w:tcPr>
            <w:tcW w:w="1134" w:type="dxa"/>
            <w:tcMar>
              <w:top w:w="0" w:type="dxa"/>
              <w:left w:w="108" w:type="dxa"/>
              <w:bottom w:w="0" w:type="dxa"/>
              <w:right w:w="108" w:type="dxa"/>
            </w:tcMar>
            <w:hideMark/>
          </w:tcPr>
          <w:p w:rsidR="00C60993" w:rsidRPr="000C4BFD" w:rsidRDefault="00C60993" w:rsidP="00C97A60">
            <w:pPr>
              <w:pStyle w:val="BodyText2"/>
              <w:spacing w:after="0" w:line="240" w:lineRule="auto"/>
              <w:jc w:val="center"/>
              <w:rPr>
                <w:b/>
                <w:bCs/>
              </w:rPr>
            </w:pPr>
            <w:r w:rsidRPr="000C4BFD">
              <w:rPr>
                <w:b/>
                <w:bCs/>
              </w:rPr>
              <w:t>2016p</w:t>
            </w:r>
          </w:p>
        </w:tc>
      </w:tr>
      <w:tr w:rsidR="00C60993" w:rsidRPr="000C4BFD" w:rsidTr="00423BAD">
        <w:tc>
          <w:tcPr>
            <w:tcW w:w="4390" w:type="dxa"/>
            <w:tcMar>
              <w:top w:w="0" w:type="dxa"/>
              <w:left w:w="108" w:type="dxa"/>
              <w:bottom w:w="0" w:type="dxa"/>
              <w:right w:w="108" w:type="dxa"/>
            </w:tcMar>
            <w:hideMark/>
          </w:tcPr>
          <w:p w:rsidR="00C60993" w:rsidRPr="000C4BFD" w:rsidRDefault="00C60993" w:rsidP="00423BAD">
            <w:pPr>
              <w:pStyle w:val="BodyText2"/>
              <w:spacing w:after="0" w:line="240" w:lineRule="auto"/>
            </w:pPr>
            <w:r w:rsidRPr="000C4BFD">
              <w:t xml:space="preserve">Iekšzemes kopprodukts (IKP) (salīdzināmās cenās, milj. </w:t>
            </w:r>
            <w:proofErr w:type="spellStart"/>
            <w:r w:rsidRPr="000C4BFD">
              <w:rPr>
                <w:i/>
              </w:rPr>
              <w:t>euro</w:t>
            </w:r>
            <w:proofErr w:type="spellEnd"/>
            <w:r w:rsidRPr="000C4BFD">
              <w:t>)</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20 841,3</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21 333,4</w:t>
            </w:r>
          </w:p>
        </w:tc>
        <w:tc>
          <w:tcPr>
            <w:tcW w:w="1275" w:type="dxa"/>
            <w:tcMar>
              <w:top w:w="0" w:type="dxa"/>
              <w:left w:w="108" w:type="dxa"/>
              <w:bottom w:w="0" w:type="dxa"/>
              <w:right w:w="108" w:type="dxa"/>
            </w:tcMar>
            <w:vAlign w:val="bottom"/>
            <w:hideMark/>
          </w:tcPr>
          <w:p w:rsidR="00C60993" w:rsidRPr="000C4BFD" w:rsidRDefault="00C60993" w:rsidP="00423BAD">
            <w:pPr>
              <w:jc w:val="right"/>
            </w:pPr>
            <w:r w:rsidRPr="000C4BFD">
              <w:t>21 777,5</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22 427,2</w:t>
            </w:r>
          </w:p>
        </w:tc>
      </w:tr>
      <w:tr w:rsidR="00C60993" w:rsidRPr="000C4BFD" w:rsidTr="00423BAD">
        <w:tc>
          <w:tcPr>
            <w:tcW w:w="4390" w:type="dxa"/>
            <w:tcMar>
              <w:top w:w="0" w:type="dxa"/>
              <w:left w:w="108" w:type="dxa"/>
              <w:bottom w:w="0" w:type="dxa"/>
              <w:right w:w="108" w:type="dxa"/>
            </w:tcMar>
            <w:hideMark/>
          </w:tcPr>
          <w:p w:rsidR="00C60993" w:rsidRPr="000C4BFD" w:rsidRDefault="00C60993" w:rsidP="00423BAD">
            <w:r w:rsidRPr="000C4BFD">
              <w:t xml:space="preserve">IKP (faktiskajās cenās, milj. </w:t>
            </w:r>
            <w:proofErr w:type="spellStart"/>
            <w:r w:rsidRPr="000C4BFD">
              <w:rPr>
                <w:i/>
              </w:rPr>
              <w:t>euro</w:t>
            </w:r>
            <w:proofErr w:type="spellEnd"/>
            <w:r w:rsidRPr="000C4BFD">
              <w:t>)</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23 221,9</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24 058,1</w:t>
            </w:r>
          </w:p>
        </w:tc>
        <w:tc>
          <w:tcPr>
            <w:tcW w:w="1275" w:type="dxa"/>
            <w:tcMar>
              <w:top w:w="0" w:type="dxa"/>
              <w:left w:w="108" w:type="dxa"/>
              <w:bottom w:w="0" w:type="dxa"/>
              <w:right w:w="108" w:type="dxa"/>
            </w:tcMar>
            <w:vAlign w:val="bottom"/>
            <w:hideMark/>
          </w:tcPr>
          <w:p w:rsidR="00C60993" w:rsidRPr="000C4BFD" w:rsidRDefault="00C60993" w:rsidP="00423BAD">
            <w:pPr>
              <w:jc w:val="right"/>
            </w:pPr>
            <w:r w:rsidRPr="000C4BFD">
              <w:t>24 847,1</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26 081,5</w:t>
            </w:r>
          </w:p>
        </w:tc>
      </w:tr>
      <w:tr w:rsidR="00C60993" w:rsidRPr="000C4BFD" w:rsidTr="00423BAD">
        <w:tc>
          <w:tcPr>
            <w:tcW w:w="4390" w:type="dxa"/>
            <w:tcMar>
              <w:top w:w="0" w:type="dxa"/>
              <w:left w:w="108" w:type="dxa"/>
              <w:bottom w:w="0" w:type="dxa"/>
              <w:right w:w="108" w:type="dxa"/>
            </w:tcMar>
            <w:hideMark/>
          </w:tcPr>
          <w:p w:rsidR="00C60993" w:rsidRPr="000C4BFD" w:rsidRDefault="00C60993" w:rsidP="00423BAD">
            <w:r w:rsidRPr="000C4BFD">
              <w:t>IKP pieaugums (salīdzināmās cenās, %)</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4,2</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2,4</w:t>
            </w:r>
          </w:p>
        </w:tc>
        <w:tc>
          <w:tcPr>
            <w:tcW w:w="1275" w:type="dxa"/>
            <w:tcMar>
              <w:top w:w="0" w:type="dxa"/>
              <w:left w:w="108" w:type="dxa"/>
              <w:bottom w:w="0" w:type="dxa"/>
              <w:right w:w="108" w:type="dxa"/>
            </w:tcMar>
            <w:vAlign w:val="bottom"/>
            <w:hideMark/>
          </w:tcPr>
          <w:p w:rsidR="00C60993" w:rsidRPr="000C4BFD" w:rsidRDefault="00C60993" w:rsidP="00423BAD">
            <w:pPr>
              <w:jc w:val="right"/>
            </w:pPr>
            <w:r w:rsidRPr="000C4BFD">
              <w:t>2,1</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3,0</w:t>
            </w:r>
          </w:p>
        </w:tc>
      </w:tr>
      <w:tr w:rsidR="00C60993" w:rsidRPr="000C4BFD" w:rsidTr="00423BAD">
        <w:tc>
          <w:tcPr>
            <w:tcW w:w="4390" w:type="dxa"/>
            <w:tcMar>
              <w:top w:w="0" w:type="dxa"/>
              <w:left w:w="108" w:type="dxa"/>
              <w:bottom w:w="0" w:type="dxa"/>
              <w:right w:w="108" w:type="dxa"/>
            </w:tcMar>
            <w:hideMark/>
          </w:tcPr>
          <w:p w:rsidR="00C60993" w:rsidRPr="000C4BFD" w:rsidRDefault="00C60993" w:rsidP="00423BAD">
            <w:r w:rsidRPr="000C4BFD">
              <w:t>IKP pieaugums (faktiskajās cenās, %)</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5,3</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3,6</w:t>
            </w:r>
          </w:p>
        </w:tc>
        <w:tc>
          <w:tcPr>
            <w:tcW w:w="1275" w:type="dxa"/>
            <w:tcMar>
              <w:top w:w="0" w:type="dxa"/>
              <w:left w:w="108" w:type="dxa"/>
              <w:bottom w:w="0" w:type="dxa"/>
              <w:right w:w="108" w:type="dxa"/>
            </w:tcMar>
            <w:vAlign w:val="bottom"/>
            <w:hideMark/>
          </w:tcPr>
          <w:p w:rsidR="00C60993" w:rsidRPr="000C4BFD" w:rsidRDefault="00C60993" w:rsidP="00423BAD">
            <w:pPr>
              <w:jc w:val="right"/>
            </w:pPr>
            <w:r w:rsidRPr="000C4BFD">
              <w:t>3,3</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5,0</w:t>
            </w:r>
          </w:p>
        </w:tc>
      </w:tr>
      <w:tr w:rsidR="00C60993" w:rsidRPr="000C4BFD" w:rsidTr="00423BAD">
        <w:tc>
          <w:tcPr>
            <w:tcW w:w="4390" w:type="dxa"/>
            <w:tcMar>
              <w:top w:w="0" w:type="dxa"/>
              <w:left w:w="108" w:type="dxa"/>
              <w:bottom w:w="0" w:type="dxa"/>
              <w:right w:w="108" w:type="dxa"/>
            </w:tcMar>
            <w:hideMark/>
          </w:tcPr>
          <w:p w:rsidR="00C60993" w:rsidRPr="000C4BFD" w:rsidRDefault="00C60993" w:rsidP="00423BAD">
            <w:r w:rsidRPr="000C4BFD">
              <w:t>Nodarbināto iedzīvotāju vidējais skaits (tūkst.)</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893,9</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884,6</w:t>
            </w:r>
          </w:p>
        </w:tc>
        <w:tc>
          <w:tcPr>
            <w:tcW w:w="1275" w:type="dxa"/>
            <w:tcMar>
              <w:top w:w="0" w:type="dxa"/>
              <w:left w:w="108" w:type="dxa"/>
              <w:bottom w:w="0" w:type="dxa"/>
              <w:right w:w="108" w:type="dxa"/>
            </w:tcMar>
            <w:vAlign w:val="bottom"/>
            <w:hideMark/>
          </w:tcPr>
          <w:p w:rsidR="00C60993" w:rsidRPr="000C4BFD" w:rsidRDefault="00C60993" w:rsidP="00423BAD">
            <w:pPr>
              <w:jc w:val="right"/>
            </w:pPr>
            <w:r w:rsidRPr="000C4BFD">
              <w:t>884,6</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886,4</w:t>
            </w:r>
          </w:p>
        </w:tc>
      </w:tr>
      <w:tr w:rsidR="00C60993" w:rsidRPr="000C4BFD" w:rsidTr="00423BAD">
        <w:tc>
          <w:tcPr>
            <w:tcW w:w="4390" w:type="dxa"/>
            <w:tcMar>
              <w:top w:w="0" w:type="dxa"/>
              <w:left w:w="108" w:type="dxa"/>
              <w:bottom w:w="0" w:type="dxa"/>
              <w:right w:w="108" w:type="dxa"/>
            </w:tcMar>
            <w:hideMark/>
          </w:tcPr>
          <w:p w:rsidR="00C60993" w:rsidRPr="000C4BFD" w:rsidRDefault="00C60993" w:rsidP="00423BAD">
            <w:r w:rsidRPr="000C4BFD">
              <w:t>Bezdarba līmenis, %</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11,9</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10,8</w:t>
            </w:r>
          </w:p>
        </w:tc>
        <w:tc>
          <w:tcPr>
            <w:tcW w:w="1275" w:type="dxa"/>
            <w:tcMar>
              <w:top w:w="0" w:type="dxa"/>
              <w:left w:w="108" w:type="dxa"/>
              <w:bottom w:w="0" w:type="dxa"/>
              <w:right w:w="108" w:type="dxa"/>
            </w:tcMar>
            <w:vAlign w:val="bottom"/>
            <w:hideMark/>
          </w:tcPr>
          <w:p w:rsidR="00C60993" w:rsidRPr="000C4BFD" w:rsidRDefault="00C60993" w:rsidP="00423BAD">
            <w:pPr>
              <w:jc w:val="right"/>
            </w:pPr>
            <w:r w:rsidRPr="000C4BFD">
              <w:t>10,2</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9,8</w:t>
            </w:r>
          </w:p>
        </w:tc>
      </w:tr>
      <w:tr w:rsidR="00C60993" w:rsidRPr="000C4BFD" w:rsidTr="00423BAD">
        <w:tc>
          <w:tcPr>
            <w:tcW w:w="4390" w:type="dxa"/>
            <w:tcMar>
              <w:top w:w="0" w:type="dxa"/>
              <w:left w:w="108" w:type="dxa"/>
              <w:bottom w:w="0" w:type="dxa"/>
              <w:right w:w="108" w:type="dxa"/>
            </w:tcMar>
            <w:hideMark/>
          </w:tcPr>
          <w:p w:rsidR="00C60993" w:rsidRPr="000C4BFD" w:rsidRDefault="00C60993" w:rsidP="00423BAD">
            <w:r w:rsidRPr="000C4BFD">
              <w:t>Produktivitāte (salīdzināmās cenās), tūkst. eiro uz 1 nodarbināto</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23,3</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24,1</w:t>
            </w:r>
          </w:p>
        </w:tc>
        <w:tc>
          <w:tcPr>
            <w:tcW w:w="1275" w:type="dxa"/>
            <w:tcMar>
              <w:top w:w="0" w:type="dxa"/>
              <w:left w:w="108" w:type="dxa"/>
              <w:bottom w:w="0" w:type="dxa"/>
              <w:right w:w="108" w:type="dxa"/>
            </w:tcMar>
            <w:vAlign w:val="bottom"/>
            <w:hideMark/>
          </w:tcPr>
          <w:p w:rsidR="00C60993" w:rsidRPr="000C4BFD" w:rsidRDefault="00C60993" w:rsidP="00423BAD">
            <w:pPr>
              <w:jc w:val="right"/>
            </w:pPr>
            <w:r w:rsidRPr="000C4BFD">
              <w:t>24,6</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25,3</w:t>
            </w:r>
          </w:p>
        </w:tc>
      </w:tr>
      <w:tr w:rsidR="00C60993" w:rsidRPr="000C4BFD" w:rsidTr="00423BAD">
        <w:tc>
          <w:tcPr>
            <w:tcW w:w="4390" w:type="dxa"/>
            <w:tcMar>
              <w:top w:w="0" w:type="dxa"/>
              <w:left w:w="108" w:type="dxa"/>
              <w:bottom w:w="0" w:type="dxa"/>
              <w:right w:w="108" w:type="dxa"/>
            </w:tcMar>
            <w:hideMark/>
          </w:tcPr>
          <w:p w:rsidR="00C60993" w:rsidRPr="000C4BFD" w:rsidRDefault="00C60993" w:rsidP="00423BAD">
            <w:r w:rsidRPr="000C4BFD">
              <w:t>Produktivitātes pieaugums (salīdzināmās cenās, %)</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2,1</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3,4</w:t>
            </w:r>
          </w:p>
        </w:tc>
        <w:tc>
          <w:tcPr>
            <w:tcW w:w="1275" w:type="dxa"/>
            <w:tcMar>
              <w:top w:w="0" w:type="dxa"/>
              <w:left w:w="108" w:type="dxa"/>
              <w:bottom w:w="0" w:type="dxa"/>
              <w:right w:w="108" w:type="dxa"/>
            </w:tcMar>
            <w:vAlign w:val="bottom"/>
            <w:hideMark/>
          </w:tcPr>
          <w:p w:rsidR="00C60993" w:rsidRPr="000C4BFD" w:rsidRDefault="00C60993" w:rsidP="00423BAD">
            <w:pPr>
              <w:jc w:val="right"/>
            </w:pPr>
            <w:r w:rsidRPr="000C4BFD">
              <w:t>2,1</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2,8</w:t>
            </w:r>
          </w:p>
        </w:tc>
      </w:tr>
      <w:tr w:rsidR="00C60993" w:rsidRPr="000C4BFD" w:rsidTr="00423BAD">
        <w:tc>
          <w:tcPr>
            <w:tcW w:w="4390" w:type="dxa"/>
            <w:tcMar>
              <w:top w:w="0" w:type="dxa"/>
              <w:left w:w="108" w:type="dxa"/>
              <w:bottom w:w="0" w:type="dxa"/>
              <w:right w:w="108" w:type="dxa"/>
            </w:tcMar>
            <w:hideMark/>
          </w:tcPr>
          <w:p w:rsidR="00C60993" w:rsidRPr="000C4BFD" w:rsidRDefault="00C60993" w:rsidP="00423BAD">
            <w:r w:rsidRPr="000C4BFD">
              <w:t xml:space="preserve">Vidējā bruto alga (mēnesī, </w:t>
            </w:r>
            <w:proofErr w:type="spellStart"/>
            <w:r w:rsidRPr="000C4BFD">
              <w:rPr>
                <w:i/>
              </w:rPr>
              <w:t>euro</w:t>
            </w:r>
            <w:proofErr w:type="spellEnd"/>
            <w:r w:rsidRPr="000C4BFD">
              <w:t>)</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716,2</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765,2</w:t>
            </w:r>
          </w:p>
        </w:tc>
        <w:tc>
          <w:tcPr>
            <w:tcW w:w="1275" w:type="dxa"/>
            <w:tcMar>
              <w:top w:w="0" w:type="dxa"/>
              <w:left w:w="108" w:type="dxa"/>
              <w:bottom w:w="0" w:type="dxa"/>
              <w:right w:w="108" w:type="dxa"/>
            </w:tcMar>
            <w:vAlign w:val="bottom"/>
            <w:hideMark/>
          </w:tcPr>
          <w:p w:rsidR="00C60993" w:rsidRPr="000C4BFD" w:rsidRDefault="00C60993" w:rsidP="00423BAD">
            <w:pPr>
              <w:jc w:val="right"/>
            </w:pPr>
            <w:r w:rsidRPr="000C4BFD">
              <w:t>799,6</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839,6</w:t>
            </w:r>
          </w:p>
        </w:tc>
      </w:tr>
      <w:tr w:rsidR="00C60993" w:rsidRPr="000C4BFD" w:rsidTr="00423BAD">
        <w:tc>
          <w:tcPr>
            <w:tcW w:w="4390" w:type="dxa"/>
            <w:tcMar>
              <w:top w:w="0" w:type="dxa"/>
              <w:left w:w="108" w:type="dxa"/>
              <w:bottom w:w="0" w:type="dxa"/>
              <w:right w:w="108" w:type="dxa"/>
            </w:tcMar>
            <w:hideMark/>
          </w:tcPr>
          <w:p w:rsidR="00C60993" w:rsidRPr="000C4BFD" w:rsidRDefault="00C60993" w:rsidP="00423BAD">
            <w:r w:rsidRPr="000C4BFD">
              <w:t>Vidējās bruto algas pieaugums, %</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4,6</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6,8</w:t>
            </w:r>
          </w:p>
        </w:tc>
        <w:tc>
          <w:tcPr>
            <w:tcW w:w="1275" w:type="dxa"/>
            <w:tcMar>
              <w:top w:w="0" w:type="dxa"/>
              <w:left w:w="108" w:type="dxa"/>
              <w:bottom w:w="0" w:type="dxa"/>
              <w:right w:w="108" w:type="dxa"/>
            </w:tcMar>
            <w:vAlign w:val="bottom"/>
            <w:hideMark/>
          </w:tcPr>
          <w:p w:rsidR="00C60993" w:rsidRPr="000C4BFD" w:rsidRDefault="00C60993" w:rsidP="00423BAD">
            <w:pPr>
              <w:jc w:val="right"/>
            </w:pPr>
            <w:r w:rsidRPr="000C4BFD">
              <w:t>4,5</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5,0</w:t>
            </w:r>
          </w:p>
        </w:tc>
      </w:tr>
      <w:tr w:rsidR="00C60993" w:rsidRPr="000C4BFD" w:rsidTr="00423BAD">
        <w:tc>
          <w:tcPr>
            <w:tcW w:w="4390" w:type="dxa"/>
            <w:tcMar>
              <w:top w:w="0" w:type="dxa"/>
              <w:left w:w="108" w:type="dxa"/>
              <w:bottom w:w="0" w:type="dxa"/>
              <w:right w:w="108" w:type="dxa"/>
            </w:tcMar>
            <w:hideMark/>
          </w:tcPr>
          <w:p w:rsidR="00C60993" w:rsidRPr="000C4BFD" w:rsidRDefault="00C60993" w:rsidP="00423BAD">
            <w:r w:rsidRPr="000C4BFD">
              <w:t>Patēriņa cenu indekss (gada vidējais, %)</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0,0</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0,6</w:t>
            </w:r>
          </w:p>
        </w:tc>
        <w:tc>
          <w:tcPr>
            <w:tcW w:w="1275" w:type="dxa"/>
            <w:tcMar>
              <w:top w:w="0" w:type="dxa"/>
              <w:left w:w="108" w:type="dxa"/>
              <w:bottom w:w="0" w:type="dxa"/>
              <w:right w:w="108" w:type="dxa"/>
            </w:tcMar>
            <w:vAlign w:val="bottom"/>
            <w:hideMark/>
          </w:tcPr>
          <w:p w:rsidR="00C60993" w:rsidRPr="000C4BFD" w:rsidRDefault="00C60993" w:rsidP="00423BAD">
            <w:pPr>
              <w:jc w:val="right"/>
            </w:pPr>
            <w:r w:rsidRPr="000C4BFD">
              <w:t>0,4</w:t>
            </w:r>
          </w:p>
        </w:tc>
        <w:tc>
          <w:tcPr>
            <w:tcW w:w="1134" w:type="dxa"/>
            <w:tcMar>
              <w:top w:w="0" w:type="dxa"/>
              <w:left w:w="108" w:type="dxa"/>
              <w:bottom w:w="0" w:type="dxa"/>
              <w:right w:w="108" w:type="dxa"/>
            </w:tcMar>
            <w:vAlign w:val="bottom"/>
            <w:hideMark/>
          </w:tcPr>
          <w:p w:rsidR="00C60993" w:rsidRPr="000C4BFD" w:rsidRDefault="00C60993" w:rsidP="00423BAD">
            <w:pPr>
              <w:jc w:val="right"/>
            </w:pPr>
            <w:r w:rsidRPr="000C4BFD">
              <w:t>1,9</w:t>
            </w:r>
          </w:p>
        </w:tc>
      </w:tr>
    </w:tbl>
    <w:p w:rsidR="00C60993" w:rsidRDefault="00C60993" w:rsidP="00E767CE">
      <w:pPr>
        <w:jc w:val="both"/>
      </w:pPr>
    </w:p>
    <w:p w:rsidR="00E767CE" w:rsidRPr="00B911EF" w:rsidRDefault="00E767CE" w:rsidP="00E767CE">
      <w:pPr>
        <w:ind w:firstLine="720"/>
        <w:jc w:val="both"/>
        <w:rPr>
          <w:sz w:val="28"/>
          <w:szCs w:val="28"/>
        </w:rPr>
      </w:pPr>
      <w:r w:rsidRPr="00B911EF">
        <w:rPr>
          <w:sz w:val="28"/>
          <w:szCs w:val="28"/>
        </w:rPr>
        <w:t xml:space="preserve">Latvijas ekonomikas konkurētspējas priekšrocības pamatā balstot uz tehnoloģiskiem faktoriem, ražošanas efektivitātes uzlabošanu un inovācijām, mazākā mērā uz lētu darbaspēku un zemām resursu cenām, tautsaimniecības izaugsme vidējā termiņā varētu sasniegt vidēji 4% gadā. Tādējādi svarīgi ir veicināt jaunu konkurētspējas priekšrocību stiprināšanu, ņemot vērā, ka atvērtā darbaspēka tirgū algu pieaugums ir objektīvs konverģences process un darbaspēka izmaksu pieaugums ir neizbēgams, pat nepalielinot minimālo </w:t>
      </w:r>
      <w:r w:rsidR="00C60993">
        <w:rPr>
          <w:sz w:val="28"/>
          <w:szCs w:val="28"/>
        </w:rPr>
        <w:t xml:space="preserve">mēneša darba </w:t>
      </w:r>
      <w:r w:rsidRPr="00B911EF">
        <w:rPr>
          <w:sz w:val="28"/>
          <w:szCs w:val="28"/>
        </w:rPr>
        <w:t>al</w:t>
      </w:r>
      <w:r w:rsidR="00C60993">
        <w:rPr>
          <w:sz w:val="28"/>
          <w:szCs w:val="28"/>
        </w:rPr>
        <w:t>gu.</w:t>
      </w:r>
    </w:p>
    <w:p w:rsidR="00E767CE" w:rsidRPr="00B911EF" w:rsidRDefault="00E767CE" w:rsidP="00E767CE">
      <w:pPr>
        <w:ind w:firstLine="720"/>
        <w:jc w:val="both"/>
        <w:rPr>
          <w:sz w:val="28"/>
          <w:szCs w:val="28"/>
        </w:rPr>
      </w:pPr>
      <w:r w:rsidRPr="00B911EF">
        <w:rPr>
          <w:sz w:val="28"/>
          <w:szCs w:val="28"/>
        </w:rPr>
        <w:t xml:space="preserve">Pašlaik Latvijā zemas darbaspēka izmaksas joprojām ir konkurētspējas priekšrocība, tāpēc minimālās </w:t>
      </w:r>
      <w:r w:rsidR="00C60993">
        <w:rPr>
          <w:sz w:val="28"/>
          <w:szCs w:val="28"/>
        </w:rPr>
        <w:t xml:space="preserve">mēneša darba </w:t>
      </w:r>
      <w:r w:rsidRPr="00B911EF">
        <w:rPr>
          <w:sz w:val="28"/>
          <w:szCs w:val="28"/>
        </w:rPr>
        <w:t xml:space="preserve">algas celšana var radīt negatīvu </w:t>
      </w:r>
      <w:r w:rsidRPr="00B911EF">
        <w:rPr>
          <w:sz w:val="28"/>
          <w:szCs w:val="28"/>
        </w:rPr>
        <w:lastRenderedPageBreak/>
        <w:t xml:space="preserve">ietekmi uz uzņēmēju konkurētspēju. Tā palielina uzņēmēju darbaspēka izmaksas un vēlmi izvairīties no nodokļu nomaksas, samazinot darba ņēmēju nostrādātās darba stundas. Bet ir vairāki faktori, kuru dēļ minimālās </w:t>
      </w:r>
      <w:r w:rsidR="00C60993">
        <w:rPr>
          <w:sz w:val="28"/>
          <w:szCs w:val="28"/>
        </w:rPr>
        <w:t xml:space="preserve">mēneša darba </w:t>
      </w:r>
      <w:r w:rsidRPr="00B911EF">
        <w:rPr>
          <w:sz w:val="28"/>
          <w:szCs w:val="28"/>
        </w:rPr>
        <w:t xml:space="preserve">algas celšana ir atbalstāma. Pirmkārt, minimālās </w:t>
      </w:r>
      <w:r w:rsidR="00C60993">
        <w:rPr>
          <w:sz w:val="28"/>
          <w:szCs w:val="28"/>
        </w:rPr>
        <w:t xml:space="preserve">mēneša darba </w:t>
      </w:r>
      <w:r w:rsidRPr="00B911EF">
        <w:rPr>
          <w:sz w:val="28"/>
          <w:szCs w:val="28"/>
        </w:rPr>
        <w:t>algas pieaugums tiešā veidā palielina mazo algu saņēmēju pirktspēju, pozitīvi ietekmējot iekšējo pieprasījumu, kas pēdējos gados balsta ekonomikas izaugsmi. Otrkārt, tas veicinās algu tuvināšanos ES vidējam līmenim, kas ir viens no instrumentiem emigrācijas plūsmas samazināšanai. Treškārt, algu pieaugums var kļūt par nopietnu stimulu jaunu konkurētspējas priekšrocību (kas nav saistītas ar zemām darbaspēka izmaksām) radīšanai, kā arī veicināt inovāciju un investīcijas jaunajās tehnoloģijās, lai samazinātu izmaksas un palielinātu ra</w:t>
      </w:r>
      <w:r w:rsidR="00C60993">
        <w:rPr>
          <w:sz w:val="28"/>
          <w:szCs w:val="28"/>
        </w:rPr>
        <w:t>žošanas resursu produktivitāti.</w:t>
      </w:r>
    </w:p>
    <w:p w:rsidR="0043231A" w:rsidRDefault="00366130" w:rsidP="00C0218A">
      <w:pPr>
        <w:ind w:firstLine="720"/>
        <w:jc w:val="both"/>
        <w:rPr>
          <w:sz w:val="28"/>
          <w:szCs w:val="28"/>
        </w:rPr>
      </w:pPr>
      <w:r>
        <w:rPr>
          <w:sz w:val="28"/>
          <w:szCs w:val="28"/>
        </w:rPr>
        <w:t>Ņemot vērā iepriekš minēto</w:t>
      </w:r>
      <w:r w:rsidR="00E767CE" w:rsidRPr="00B911EF">
        <w:rPr>
          <w:sz w:val="28"/>
          <w:szCs w:val="28"/>
        </w:rPr>
        <w:t xml:space="preserve">, </w:t>
      </w:r>
      <w:r w:rsidR="00E767CE" w:rsidRPr="00366130">
        <w:rPr>
          <w:b/>
          <w:sz w:val="28"/>
          <w:szCs w:val="28"/>
          <w:u w:val="single"/>
        </w:rPr>
        <w:t>Ekonomikas ministrija</w:t>
      </w:r>
      <w:r w:rsidR="00E767CE" w:rsidRPr="00B911EF">
        <w:rPr>
          <w:b/>
          <w:sz w:val="28"/>
          <w:szCs w:val="28"/>
        </w:rPr>
        <w:t xml:space="preserve"> uzskata, ka minimālo mēneša darba algu valstī no 2016.gada 1.janvāra ir iespējams paaugstināt no 360 </w:t>
      </w:r>
      <w:proofErr w:type="spellStart"/>
      <w:r w:rsidR="00E767CE" w:rsidRPr="000F530F">
        <w:rPr>
          <w:b/>
          <w:i/>
          <w:sz w:val="28"/>
          <w:szCs w:val="28"/>
        </w:rPr>
        <w:t>euro</w:t>
      </w:r>
      <w:proofErr w:type="spellEnd"/>
      <w:r w:rsidR="00E767CE" w:rsidRPr="00B911EF">
        <w:rPr>
          <w:b/>
          <w:sz w:val="28"/>
          <w:szCs w:val="28"/>
        </w:rPr>
        <w:t xml:space="preserve"> uz 375 </w:t>
      </w:r>
      <w:proofErr w:type="spellStart"/>
      <w:r w:rsidR="00E767CE" w:rsidRPr="000F530F">
        <w:rPr>
          <w:b/>
          <w:i/>
          <w:sz w:val="28"/>
          <w:szCs w:val="28"/>
        </w:rPr>
        <w:t>euro</w:t>
      </w:r>
      <w:proofErr w:type="spellEnd"/>
      <w:r w:rsidR="00E767CE" w:rsidRPr="00B911EF">
        <w:rPr>
          <w:b/>
          <w:sz w:val="28"/>
          <w:szCs w:val="28"/>
        </w:rPr>
        <w:t xml:space="preserve">, kā tas ir piedāvāts </w:t>
      </w:r>
      <w:r w:rsidR="00C60993">
        <w:rPr>
          <w:b/>
          <w:sz w:val="28"/>
          <w:szCs w:val="28"/>
        </w:rPr>
        <w:t>3</w:t>
      </w:r>
      <w:r w:rsidR="00E767CE" w:rsidRPr="00B911EF">
        <w:rPr>
          <w:b/>
          <w:sz w:val="28"/>
          <w:szCs w:val="28"/>
        </w:rPr>
        <w:t>.</w:t>
      </w:r>
      <w:r w:rsidR="00C60993">
        <w:rPr>
          <w:b/>
          <w:sz w:val="28"/>
          <w:szCs w:val="28"/>
        </w:rPr>
        <w:t> </w:t>
      </w:r>
      <w:r w:rsidR="00E767CE" w:rsidRPr="00B911EF">
        <w:rPr>
          <w:b/>
          <w:sz w:val="28"/>
          <w:szCs w:val="28"/>
        </w:rPr>
        <w:t>variantā</w:t>
      </w:r>
      <w:r w:rsidR="00E767CE" w:rsidRPr="00B911EF">
        <w:rPr>
          <w:sz w:val="28"/>
          <w:szCs w:val="28"/>
        </w:rPr>
        <w:t xml:space="preserve">. Vienlaikus Ekonomikas ministrija uzskata, ka atbilstoši valdības deklarācijai </w:t>
      </w:r>
      <w:r w:rsidR="00E767CE" w:rsidRPr="00F23299">
        <w:rPr>
          <w:b/>
          <w:sz w:val="28"/>
          <w:szCs w:val="28"/>
        </w:rPr>
        <w:t>nepieciešams paaugstināt ar iedzīvotāju ienākuma nodokli neapliekamo minimumu mazo algu saņēmējiem</w:t>
      </w:r>
      <w:r w:rsidR="00E767CE" w:rsidRPr="00B911EF">
        <w:rPr>
          <w:sz w:val="28"/>
          <w:szCs w:val="28"/>
        </w:rPr>
        <w:t>, kas ierobežotu kopējo darbaspēka izmaksu kāpumu uzņēmēju konkurētspējas saglabāšanai.</w:t>
      </w:r>
    </w:p>
    <w:p w:rsidR="00C0218A" w:rsidRPr="00C0218A" w:rsidRDefault="00C0218A" w:rsidP="00C0218A">
      <w:pPr>
        <w:ind w:firstLine="567"/>
        <w:jc w:val="both"/>
        <w:rPr>
          <w:sz w:val="28"/>
          <w:szCs w:val="28"/>
        </w:rPr>
      </w:pPr>
      <w:r w:rsidRPr="00366130">
        <w:rPr>
          <w:b/>
          <w:sz w:val="28"/>
          <w:szCs w:val="28"/>
          <w:u w:val="single"/>
        </w:rPr>
        <w:t>Finanšu ministrija</w:t>
      </w:r>
      <w:r w:rsidRPr="00C0218A">
        <w:rPr>
          <w:b/>
          <w:sz w:val="28"/>
          <w:szCs w:val="28"/>
        </w:rPr>
        <w:t xml:space="preserve"> uzskata</w:t>
      </w:r>
      <w:r>
        <w:rPr>
          <w:sz w:val="28"/>
          <w:szCs w:val="28"/>
        </w:rPr>
        <w:t xml:space="preserve">, </w:t>
      </w:r>
      <w:r w:rsidRPr="00C0218A">
        <w:rPr>
          <w:b/>
          <w:sz w:val="28"/>
          <w:szCs w:val="28"/>
        </w:rPr>
        <w:t>ka</w:t>
      </w:r>
      <w:r>
        <w:rPr>
          <w:sz w:val="28"/>
          <w:szCs w:val="28"/>
        </w:rPr>
        <w:t xml:space="preserve"> </w:t>
      </w:r>
      <w:r w:rsidRPr="00C0218A">
        <w:rPr>
          <w:b/>
          <w:sz w:val="28"/>
          <w:szCs w:val="28"/>
        </w:rPr>
        <w:t>pašreizējā situācijā,</w:t>
      </w:r>
      <w:r w:rsidRPr="00C0218A">
        <w:rPr>
          <w:sz w:val="28"/>
          <w:szCs w:val="28"/>
        </w:rPr>
        <w:t xml:space="preserve"> kad ekonomikas izaugsme jau ir būtiski palēninājusies un tālākas izaugsmes perspektīvas apdraud ārējās vides riski, tajā skaitā saspīlētā ģeopolitiskā situācija reģionā un recesija Krievijā, </w:t>
      </w:r>
      <w:r w:rsidRPr="007D3B57">
        <w:rPr>
          <w:sz w:val="28"/>
          <w:szCs w:val="28"/>
        </w:rPr>
        <w:t>darbaspēka izmaksu palielinājums uzņēmējiem, paaugstinot minimālo mēneša darba algu, nebūtu ekonomiski pamatots.</w:t>
      </w:r>
      <w:r w:rsidRPr="00C0218A">
        <w:rPr>
          <w:sz w:val="28"/>
          <w:szCs w:val="28"/>
        </w:rPr>
        <w:t xml:space="preserve"> Lai nemazinātu Latvijas ārējo konkurētspēju, </w:t>
      </w:r>
      <w:r w:rsidRPr="007D3B57">
        <w:rPr>
          <w:b/>
          <w:sz w:val="28"/>
          <w:szCs w:val="28"/>
        </w:rPr>
        <w:t>minimālās mēneša darba algas paaugstināšana būtu jāveic atbilstoši produktivitātes pieaugumam tautsaimniecībā</w:t>
      </w:r>
      <w:r w:rsidRPr="00C0218A">
        <w:rPr>
          <w:sz w:val="28"/>
          <w:szCs w:val="28"/>
        </w:rPr>
        <w:t xml:space="preserve">. Pēdējo divu gadu laikā minimālā </w:t>
      </w:r>
      <w:r>
        <w:rPr>
          <w:sz w:val="28"/>
          <w:szCs w:val="28"/>
        </w:rPr>
        <w:t xml:space="preserve">mēneša darba </w:t>
      </w:r>
      <w:r w:rsidRPr="00C0218A">
        <w:rPr>
          <w:sz w:val="28"/>
          <w:szCs w:val="28"/>
        </w:rPr>
        <w:t xml:space="preserve">alga jau ir paaugstināta kopumā par 26,5% - no 284,57 </w:t>
      </w:r>
      <w:proofErr w:type="spellStart"/>
      <w:r w:rsidRPr="000F530F">
        <w:rPr>
          <w:i/>
          <w:sz w:val="28"/>
          <w:szCs w:val="28"/>
        </w:rPr>
        <w:t>e</w:t>
      </w:r>
      <w:r w:rsidR="000F530F" w:rsidRPr="000F530F">
        <w:rPr>
          <w:i/>
          <w:sz w:val="28"/>
          <w:szCs w:val="28"/>
        </w:rPr>
        <w:t>u</w:t>
      </w:r>
      <w:r w:rsidRPr="000F530F">
        <w:rPr>
          <w:i/>
          <w:sz w:val="28"/>
          <w:szCs w:val="28"/>
        </w:rPr>
        <w:t>ro</w:t>
      </w:r>
      <w:proofErr w:type="spellEnd"/>
      <w:r w:rsidRPr="00C0218A">
        <w:rPr>
          <w:sz w:val="28"/>
          <w:szCs w:val="28"/>
        </w:rPr>
        <w:t xml:space="preserve"> 2013.gadā līdz 360 </w:t>
      </w:r>
      <w:proofErr w:type="spellStart"/>
      <w:r w:rsidRPr="000F530F">
        <w:rPr>
          <w:i/>
          <w:sz w:val="28"/>
          <w:szCs w:val="28"/>
        </w:rPr>
        <w:t>e</w:t>
      </w:r>
      <w:r w:rsidR="000F530F" w:rsidRPr="000F530F">
        <w:rPr>
          <w:i/>
          <w:sz w:val="28"/>
          <w:szCs w:val="28"/>
        </w:rPr>
        <w:t>u</w:t>
      </w:r>
      <w:r w:rsidRPr="000F530F">
        <w:rPr>
          <w:i/>
          <w:sz w:val="28"/>
          <w:szCs w:val="28"/>
        </w:rPr>
        <w:t>ro</w:t>
      </w:r>
      <w:proofErr w:type="spellEnd"/>
      <w:r w:rsidRPr="00C0218A">
        <w:rPr>
          <w:sz w:val="28"/>
          <w:szCs w:val="28"/>
        </w:rPr>
        <w:t xml:space="preserve"> 2015.gadā, un reālā minimālā </w:t>
      </w:r>
      <w:r>
        <w:rPr>
          <w:sz w:val="28"/>
          <w:szCs w:val="28"/>
        </w:rPr>
        <w:t xml:space="preserve">mēneša </w:t>
      </w:r>
      <w:r w:rsidRPr="00C0218A">
        <w:rPr>
          <w:sz w:val="28"/>
          <w:szCs w:val="28"/>
        </w:rPr>
        <w:t xml:space="preserve">darba alga (ņemot vērā inflāciju) šajā laika posmā ir augusi par 25,6%, kamēr produktivitāte šajā laika periodā palielinājusies tikai par 5,6%. Minimālās </w:t>
      </w:r>
      <w:r>
        <w:rPr>
          <w:sz w:val="28"/>
          <w:szCs w:val="28"/>
        </w:rPr>
        <w:t xml:space="preserve">mēneša darba </w:t>
      </w:r>
      <w:r w:rsidRPr="00C0218A">
        <w:rPr>
          <w:sz w:val="28"/>
          <w:szCs w:val="28"/>
        </w:rPr>
        <w:t>algas pārāk straujš palielinājums var negatīvi iespaidot nodarbinātības līmeni zemāk kvalificēto darbinieku grupā un attiecīgi arī kopējo nodarbinātības līmeni valstī. Kā liecina statistikas dati, darba ņēmēju skaita pieaugums 2014.gadā jau ir kļuvis būtiski lēnāks un privātajā sektorā ir praktiski apstājies, tādējādi minimālās mēneša darba algas tālāka paaugstināšana varētu apdraudēt jaunu darba vietu veidošanu.</w:t>
      </w:r>
    </w:p>
    <w:p w:rsidR="00B24E43" w:rsidRPr="00B24E43" w:rsidRDefault="00B24E43" w:rsidP="00B24E43">
      <w:pPr>
        <w:ind w:firstLine="720"/>
        <w:jc w:val="both"/>
        <w:rPr>
          <w:b/>
          <w:sz w:val="28"/>
          <w:szCs w:val="28"/>
        </w:rPr>
      </w:pPr>
      <w:r w:rsidRPr="00E37AB6">
        <w:rPr>
          <w:b/>
          <w:sz w:val="28"/>
          <w:szCs w:val="28"/>
          <w:u w:val="single"/>
        </w:rPr>
        <w:t>Labklājības ministrija</w:t>
      </w:r>
      <w:r>
        <w:rPr>
          <w:sz w:val="28"/>
          <w:szCs w:val="28"/>
        </w:rPr>
        <w:t xml:space="preserve"> uzskata, ka m</w:t>
      </w:r>
      <w:r w:rsidRPr="00665E86">
        <w:rPr>
          <w:sz w:val="28"/>
          <w:szCs w:val="28"/>
        </w:rPr>
        <w:t xml:space="preserve">inimālā </w:t>
      </w:r>
      <w:r>
        <w:rPr>
          <w:sz w:val="28"/>
          <w:szCs w:val="28"/>
        </w:rPr>
        <w:t xml:space="preserve">mēneša darba </w:t>
      </w:r>
      <w:r w:rsidRPr="00665E86">
        <w:rPr>
          <w:sz w:val="28"/>
          <w:szCs w:val="28"/>
        </w:rPr>
        <w:t>alga ir instruments mazkvalificētu darbinieku aizsardzībai (nosakot minimālo cenu šāda veida darbam), nevienlīdzības mazināšanai un vienlaicīgi darbojas arī kā kopējā pieprasījuma uzturētājs</w:t>
      </w:r>
      <w:r>
        <w:rPr>
          <w:sz w:val="28"/>
          <w:szCs w:val="28"/>
        </w:rPr>
        <w:t>, taču tās apmērs jānosaka, ņemot vērā arī produktivitātes izmaiņas un iespējamo ekonomisko situāciju, kas ģeopolitiskās situācijas un Eirozonas izaicinājumu dēļ nav vērtējama kā labvēlīga</w:t>
      </w:r>
      <w:r w:rsidRPr="00665E86">
        <w:rPr>
          <w:sz w:val="28"/>
          <w:szCs w:val="28"/>
        </w:rPr>
        <w:t>.</w:t>
      </w:r>
      <w:r>
        <w:rPr>
          <w:sz w:val="28"/>
          <w:szCs w:val="28"/>
        </w:rPr>
        <w:t xml:space="preserve"> Tāpat būtiski ņemt vērā, ka noteicošs faktors minimālās mēneša darba algas sistēmā ir arī tās ietekme uz algu skalu saspiestību un faktiskā piemērošana. Saskaņā ar Valsts ieņēmumu </w:t>
      </w:r>
      <w:r>
        <w:rPr>
          <w:sz w:val="28"/>
          <w:szCs w:val="28"/>
        </w:rPr>
        <w:lastRenderedPageBreak/>
        <w:t>dienesta</w:t>
      </w:r>
      <w:r w:rsidRPr="00520C0A">
        <w:rPr>
          <w:sz w:val="28"/>
          <w:szCs w:val="28"/>
        </w:rPr>
        <w:t xml:space="preserve"> datiem 2015.gada februārī 20,3% nodarbināto saņēma par </w:t>
      </w:r>
      <w:r>
        <w:rPr>
          <w:sz w:val="28"/>
          <w:szCs w:val="28"/>
        </w:rPr>
        <w:t>minimālo mēneša darba algu mazāku algu, j</w:t>
      </w:r>
      <w:r w:rsidRPr="00520C0A">
        <w:rPr>
          <w:sz w:val="28"/>
          <w:szCs w:val="28"/>
        </w:rPr>
        <w:t xml:space="preserve">anvārī šādu nodarbināto bija 19,5%, bet pagājušā gada decembrī, kad minimālā </w:t>
      </w:r>
      <w:r>
        <w:rPr>
          <w:sz w:val="28"/>
          <w:szCs w:val="28"/>
        </w:rPr>
        <w:t xml:space="preserve">mēneša darba </w:t>
      </w:r>
      <w:r w:rsidRPr="00520C0A">
        <w:rPr>
          <w:sz w:val="28"/>
          <w:szCs w:val="28"/>
        </w:rPr>
        <w:t xml:space="preserve">alga bija 320 eiro, alga zem minimālās </w:t>
      </w:r>
      <w:r>
        <w:rPr>
          <w:sz w:val="28"/>
          <w:szCs w:val="28"/>
        </w:rPr>
        <w:t xml:space="preserve">mēneša darba algas </w:t>
      </w:r>
      <w:r w:rsidRPr="00520C0A">
        <w:rPr>
          <w:sz w:val="28"/>
          <w:szCs w:val="28"/>
        </w:rPr>
        <w:t>bija 17,6% nodarbināto.</w:t>
      </w:r>
      <w:r>
        <w:rPr>
          <w:sz w:val="28"/>
          <w:szCs w:val="28"/>
        </w:rPr>
        <w:t xml:space="preserve"> </w:t>
      </w:r>
      <w:r w:rsidRPr="00520C0A">
        <w:rPr>
          <w:sz w:val="28"/>
          <w:szCs w:val="28"/>
        </w:rPr>
        <w:t>2015.gada februārī nepilnu darba laiku strādāja 395 700 nodarbināto, janvārī tie</w:t>
      </w:r>
      <w:r>
        <w:rPr>
          <w:sz w:val="28"/>
          <w:szCs w:val="28"/>
        </w:rPr>
        <w:t xml:space="preserve"> bija 436 200 nodarbinātie, 2014.gada</w:t>
      </w:r>
      <w:r w:rsidRPr="00520C0A">
        <w:rPr>
          <w:sz w:val="28"/>
          <w:szCs w:val="28"/>
        </w:rPr>
        <w:t xml:space="preserve"> decembrī nepilnu darba laiku strādāja 392 800 nodarbinātie.</w:t>
      </w:r>
      <w:r>
        <w:rPr>
          <w:sz w:val="28"/>
          <w:szCs w:val="28"/>
        </w:rPr>
        <w:t xml:space="preserve"> Minētie rādītāji norāda uz to, ka minimālā mēneša darba alga, iespējams, ir radījusi algu saspiestību mazo algu sektorā ar potenciāli nelabvēlīgu ietekmi uz nākotnes produktivitāti šajā grupā, kā arī nedeklarētās nodarbinātības (neapmaksātas virsstundas) pieaugumu. Vienlaikus Labklājības ministrija uzskata, ka minimālās mēneša darba algas izmaiņas ir jāskata kontekstā ar iedzīvotāju ienākumu nodokļa neapliekamā minimuma izmaiņām. Ņemot vērā iepriekš minētos faktorus </w:t>
      </w:r>
      <w:r w:rsidRPr="00B24E43">
        <w:rPr>
          <w:b/>
          <w:sz w:val="28"/>
          <w:szCs w:val="28"/>
        </w:rPr>
        <w:t xml:space="preserve">Labklājības ministrija aicina saglabāt minimālo mēneša </w:t>
      </w:r>
      <w:r>
        <w:rPr>
          <w:b/>
          <w:sz w:val="28"/>
          <w:szCs w:val="28"/>
        </w:rPr>
        <w:t xml:space="preserve">darba </w:t>
      </w:r>
      <w:r w:rsidRPr="00B24E43">
        <w:rPr>
          <w:b/>
          <w:sz w:val="28"/>
          <w:szCs w:val="28"/>
        </w:rPr>
        <w:t>algu pašreizējā apmērā vai palielināt to līdz 367</w:t>
      </w:r>
      <w:r w:rsidR="00681F3C">
        <w:rPr>
          <w:b/>
          <w:sz w:val="28"/>
          <w:szCs w:val="28"/>
        </w:rPr>
        <w:t> </w:t>
      </w:r>
      <w:proofErr w:type="spellStart"/>
      <w:r w:rsidRPr="00B24E43">
        <w:rPr>
          <w:b/>
          <w:i/>
          <w:sz w:val="28"/>
          <w:szCs w:val="28"/>
        </w:rPr>
        <w:t>euro</w:t>
      </w:r>
      <w:proofErr w:type="spellEnd"/>
      <w:r w:rsidRPr="00B24E43">
        <w:rPr>
          <w:b/>
          <w:sz w:val="28"/>
          <w:szCs w:val="28"/>
        </w:rPr>
        <w:t>.</w:t>
      </w:r>
    </w:p>
    <w:p w:rsidR="00366130" w:rsidRDefault="003C7503" w:rsidP="00366130">
      <w:pPr>
        <w:ind w:firstLine="720"/>
        <w:jc w:val="both"/>
        <w:rPr>
          <w:sz w:val="28"/>
          <w:szCs w:val="28"/>
        </w:rPr>
      </w:pPr>
      <w:r w:rsidRPr="00665E86">
        <w:rPr>
          <w:sz w:val="28"/>
          <w:szCs w:val="28"/>
        </w:rPr>
        <w:t xml:space="preserve">Analizējot bezdarba situāciju valstī, var secināt, ka katru gadu </w:t>
      </w:r>
      <w:r>
        <w:rPr>
          <w:sz w:val="28"/>
          <w:szCs w:val="28"/>
        </w:rPr>
        <w:t xml:space="preserve">gada sākumā </w:t>
      </w:r>
      <w:r w:rsidRPr="00665E86">
        <w:rPr>
          <w:sz w:val="28"/>
          <w:szCs w:val="28"/>
        </w:rPr>
        <w:t xml:space="preserve">ir tendence pieaugt reģistrētā bezdarba līmenim salīdzinājumā ar </w:t>
      </w:r>
      <w:r>
        <w:rPr>
          <w:sz w:val="28"/>
          <w:szCs w:val="28"/>
        </w:rPr>
        <w:t>iepriekšējā</w:t>
      </w:r>
      <w:r w:rsidRPr="00665E86">
        <w:rPr>
          <w:sz w:val="28"/>
          <w:szCs w:val="28"/>
        </w:rPr>
        <w:t xml:space="preserve"> gada nogali, arī tajos gados</w:t>
      </w:r>
      <w:r>
        <w:rPr>
          <w:sz w:val="28"/>
          <w:szCs w:val="28"/>
        </w:rPr>
        <w:t>, kad minimālā mēneša darba alga nav paaugstināta, bet gada beigās – samazināties salīdzinājumā ar gada sākumu (skat. 3.tabulu).</w:t>
      </w:r>
    </w:p>
    <w:p w:rsidR="00710541" w:rsidRDefault="00710541" w:rsidP="00710541">
      <w:pPr>
        <w:jc w:val="both"/>
        <w:rPr>
          <w:sz w:val="28"/>
          <w:szCs w:val="28"/>
        </w:rPr>
      </w:pPr>
    </w:p>
    <w:p w:rsidR="00366130" w:rsidRDefault="00366130" w:rsidP="00366130">
      <w:pPr>
        <w:jc w:val="right"/>
        <w:rPr>
          <w:sz w:val="28"/>
          <w:szCs w:val="28"/>
        </w:rPr>
      </w:pPr>
      <w:r>
        <w:rPr>
          <w:sz w:val="28"/>
          <w:szCs w:val="28"/>
        </w:rPr>
        <w:t>3.tabula</w:t>
      </w:r>
    </w:p>
    <w:p w:rsidR="00710541" w:rsidRDefault="00710541" w:rsidP="00710541">
      <w:pPr>
        <w:rPr>
          <w:sz w:val="28"/>
          <w:szCs w:val="28"/>
        </w:rPr>
      </w:pPr>
    </w:p>
    <w:p w:rsidR="00366130" w:rsidRPr="00482999" w:rsidRDefault="00366130" w:rsidP="00366130">
      <w:pPr>
        <w:jc w:val="center"/>
        <w:rPr>
          <w:b/>
          <w:iCs/>
        </w:rPr>
      </w:pPr>
      <w:r w:rsidRPr="00482999">
        <w:rPr>
          <w:b/>
          <w:iCs/>
        </w:rPr>
        <w:t>Reģistrētā bezdarba līmenis perioda beigās, %</w:t>
      </w:r>
    </w:p>
    <w:tbl>
      <w:tblPr>
        <w:tblW w:w="5000" w:type="pct"/>
        <w:jc w:val="center"/>
        <w:tblLook w:val="0000" w:firstRow="0" w:lastRow="0" w:firstColumn="0" w:lastColumn="0" w:noHBand="0" w:noVBand="0"/>
      </w:tblPr>
      <w:tblGrid>
        <w:gridCol w:w="762"/>
        <w:gridCol w:w="792"/>
        <w:gridCol w:w="708"/>
        <w:gridCol w:w="708"/>
        <w:gridCol w:w="795"/>
        <w:gridCol w:w="617"/>
        <w:gridCol w:w="659"/>
        <w:gridCol w:w="754"/>
        <w:gridCol w:w="697"/>
        <w:gridCol w:w="697"/>
        <w:gridCol w:w="697"/>
        <w:gridCol w:w="697"/>
        <w:gridCol w:w="704"/>
      </w:tblGrid>
      <w:tr w:rsidR="00366130" w:rsidRPr="00C528B7" w:rsidTr="00423BAD">
        <w:trPr>
          <w:trHeight w:val="159"/>
          <w:jc w:val="center"/>
        </w:trPr>
        <w:tc>
          <w:tcPr>
            <w:tcW w:w="411" w:type="pct"/>
            <w:tcBorders>
              <w:top w:val="single" w:sz="4" w:space="0" w:color="000000"/>
              <w:left w:val="single" w:sz="4" w:space="0" w:color="000000"/>
              <w:bottom w:val="single" w:sz="4" w:space="0" w:color="000000"/>
            </w:tcBorders>
            <w:vAlign w:val="bottom"/>
          </w:tcPr>
          <w:p w:rsidR="00366130" w:rsidRPr="00482999" w:rsidRDefault="00366130" w:rsidP="00423BAD">
            <w:pPr>
              <w:snapToGrid w:val="0"/>
              <w:jc w:val="both"/>
              <w:rPr>
                <w:sz w:val="18"/>
                <w:szCs w:val="18"/>
              </w:rPr>
            </w:pPr>
          </w:p>
        </w:tc>
        <w:tc>
          <w:tcPr>
            <w:tcW w:w="4589" w:type="pct"/>
            <w:gridSpan w:val="12"/>
            <w:tcBorders>
              <w:top w:val="single" w:sz="4" w:space="0" w:color="000000"/>
              <w:left w:val="single" w:sz="4" w:space="0" w:color="000000"/>
              <w:bottom w:val="single" w:sz="4" w:space="0" w:color="000000"/>
              <w:right w:val="single" w:sz="4" w:space="0" w:color="000000"/>
            </w:tcBorders>
            <w:vAlign w:val="center"/>
          </w:tcPr>
          <w:p w:rsidR="00366130" w:rsidRPr="00DE1F01" w:rsidRDefault="00366130" w:rsidP="00423BAD">
            <w:pPr>
              <w:snapToGrid w:val="0"/>
              <w:jc w:val="center"/>
              <w:rPr>
                <w:iCs/>
              </w:rPr>
            </w:pPr>
            <w:r w:rsidRPr="00DE1F01">
              <w:rPr>
                <w:iCs/>
              </w:rPr>
              <w:t>Mēneši</w:t>
            </w:r>
          </w:p>
        </w:tc>
      </w:tr>
      <w:tr w:rsidR="00366130" w:rsidRPr="00C528B7" w:rsidTr="00423BAD">
        <w:trPr>
          <w:trHeight w:val="253"/>
          <w:jc w:val="center"/>
        </w:trPr>
        <w:tc>
          <w:tcPr>
            <w:tcW w:w="411" w:type="pct"/>
            <w:tcBorders>
              <w:top w:val="single" w:sz="4" w:space="0" w:color="000000"/>
              <w:left w:val="single" w:sz="4" w:space="0" w:color="000000"/>
              <w:bottom w:val="single" w:sz="4" w:space="0" w:color="000000"/>
            </w:tcBorders>
            <w:vAlign w:val="bottom"/>
          </w:tcPr>
          <w:p w:rsidR="00366130" w:rsidRPr="00482999" w:rsidRDefault="00366130" w:rsidP="00423BAD">
            <w:pPr>
              <w:snapToGrid w:val="0"/>
              <w:jc w:val="center"/>
              <w:rPr>
                <w:i/>
                <w:iCs/>
                <w:sz w:val="20"/>
                <w:szCs w:val="20"/>
              </w:rPr>
            </w:pPr>
            <w:r w:rsidRPr="00482999">
              <w:rPr>
                <w:i/>
                <w:iCs/>
                <w:sz w:val="20"/>
                <w:szCs w:val="20"/>
              </w:rPr>
              <w:t>Gadi</w:t>
            </w:r>
          </w:p>
        </w:tc>
        <w:tc>
          <w:tcPr>
            <w:tcW w:w="427"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20"/>
                <w:szCs w:val="20"/>
              </w:rPr>
            </w:pPr>
            <w:r w:rsidRPr="00482999">
              <w:rPr>
                <w:sz w:val="20"/>
                <w:szCs w:val="20"/>
              </w:rPr>
              <w:t>Jan</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20"/>
                <w:szCs w:val="20"/>
              </w:rPr>
            </w:pPr>
            <w:proofErr w:type="spellStart"/>
            <w:r w:rsidRPr="00482999">
              <w:rPr>
                <w:sz w:val="20"/>
                <w:szCs w:val="20"/>
              </w:rPr>
              <w:t>Feb</w:t>
            </w:r>
            <w:proofErr w:type="spellEnd"/>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20"/>
                <w:szCs w:val="20"/>
              </w:rPr>
            </w:pPr>
            <w:proofErr w:type="spellStart"/>
            <w:r w:rsidRPr="00482999">
              <w:rPr>
                <w:sz w:val="20"/>
                <w:szCs w:val="20"/>
              </w:rPr>
              <w:t>Mar</w:t>
            </w:r>
            <w:proofErr w:type="spellEnd"/>
          </w:p>
        </w:tc>
        <w:tc>
          <w:tcPr>
            <w:tcW w:w="428"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20"/>
                <w:szCs w:val="20"/>
              </w:rPr>
            </w:pPr>
            <w:proofErr w:type="spellStart"/>
            <w:r w:rsidRPr="00482999">
              <w:rPr>
                <w:sz w:val="20"/>
                <w:szCs w:val="20"/>
              </w:rPr>
              <w:t>Apr</w:t>
            </w:r>
            <w:proofErr w:type="spellEnd"/>
          </w:p>
        </w:tc>
        <w:tc>
          <w:tcPr>
            <w:tcW w:w="332"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20"/>
                <w:szCs w:val="20"/>
              </w:rPr>
            </w:pPr>
            <w:proofErr w:type="spellStart"/>
            <w:r w:rsidRPr="00482999">
              <w:rPr>
                <w:sz w:val="20"/>
                <w:szCs w:val="20"/>
              </w:rPr>
              <w:t>Mai</w:t>
            </w:r>
            <w:proofErr w:type="spellEnd"/>
          </w:p>
        </w:tc>
        <w:tc>
          <w:tcPr>
            <w:tcW w:w="35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20"/>
                <w:szCs w:val="20"/>
              </w:rPr>
            </w:pPr>
            <w:proofErr w:type="spellStart"/>
            <w:r w:rsidRPr="00482999">
              <w:rPr>
                <w:sz w:val="20"/>
                <w:szCs w:val="20"/>
              </w:rPr>
              <w:t>Jūn</w:t>
            </w:r>
            <w:proofErr w:type="spellEnd"/>
          </w:p>
        </w:tc>
        <w:tc>
          <w:tcPr>
            <w:tcW w:w="406"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20"/>
                <w:szCs w:val="20"/>
              </w:rPr>
            </w:pPr>
            <w:proofErr w:type="spellStart"/>
            <w:r w:rsidRPr="00482999">
              <w:rPr>
                <w:sz w:val="20"/>
                <w:szCs w:val="20"/>
              </w:rPr>
              <w:t>Jūl</w:t>
            </w:r>
            <w:proofErr w:type="spellEnd"/>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20"/>
                <w:szCs w:val="20"/>
              </w:rPr>
            </w:pPr>
            <w:r w:rsidRPr="00482999">
              <w:rPr>
                <w:sz w:val="20"/>
                <w:szCs w:val="20"/>
              </w:rPr>
              <w:t>Aug</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20"/>
                <w:szCs w:val="20"/>
              </w:rPr>
            </w:pPr>
            <w:proofErr w:type="spellStart"/>
            <w:r w:rsidRPr="00482999">
              <w:rPr>
                <w:sz w:val="20"/>
                <w:szCs w:val="20"/>
              </w:rPr>
              <w:t>Sep</w:t>
            </w:r>
            <w:proofErr w:type="spellEnd"/>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20"/>
                <w:szCs w:val="20"/>
              </w:rPr>
            </w:pPr>
            <w:proofErr w:type="spellStart"/>
            <w:r w:rsidRPr="00482999">
              <w:rPr>
                <w:sz w:val="20"/>
                <w:szCs w:val="20"/>
              </w:rPr>
              <w:t>Okt</w:t>
            </w:r>
            <w:proofErr w:type="spellEnd"/>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20"/>
                <w:szCs w:val="20"/>
              </w:rPr>
            </w:pPr>
            <w:proofErr w:type="spellStart"/>
            <w:r w:rsidRPr="00482999">
              <w:rPr>
                <w:sz w:val="20"/>
                <w:szCs w:val="20"/>
              </w:rPr>
              <w:t>Nov</w:t>
            </w:r>
            <w:proofErr w:type="spellEnd"/>
          </w:p>
        </w:tc>
        <w:tc>
          <w:tcPr>
            <w:tcW w:w="378" w:type="pct"/>
            <w:tcBorders>
              <w:top w:val="single" w:sz="4" w:space="0" w:color="000000"/>
              <w:left w:val="single" w:sz="4" w:space="0" w:color="000000"/>
              <w:bottom w:val="single" w:sz="4" w:space="0" w:color="000000"/>
              <w:right w:val="single" w:sz="4" w:space="0" w:color="000000"/>
            </w:tcBorders>
            <w:vAlign w:val="center"/>
          </w:tcPr>
          <w:p w:rsidR="00366130" w:rsidRPr="00482999" w:rsidRDefault="00366130" w:rsidP="00423BAD">
            <w:pPr>
              <w:snapToGrid w:val="0"/>
              <w:jc w:val="center"/>
              <w:rPr>
                <w:sz w:val="20"/>
                <w:szCs w:val="20"/>
              </w:rPr>
            </w:pPr>
            <w:proofErr w:type="spellStart"/>
            <w:r w:rsidRPr="00482999">
              <w:rPr>
                <w:sz w:val="20"/>
                <w:szCs w:val="20"/>
              </w:rPr>
              <w:t>Dec</w:t>
            </w:r>
            <w:proofErr w:type="spellEnd"/>
          </w:p>
        </w:tc>
      </w:tr>
      <w:tr w:rsidR="00366130" w:rsidRPr="00C528B7" w:rsidTr="00423BAD">
        <w:trPr>
          <w:trHeight w:val="236"/>
          <w:jc w:val="center"/>
        </w:trPr>
        <w:tc>
          <w:tcPr>
            <w:tcW w:w="411" w:type="pct"/>
            <w:tcBorders>
              <w:left w:val="single" w:sz="4" w:space="0" w:color="000000"/>
              <w:bottom w:val="single" w:sz="4" w:space="0" w:color="000000"/>
            </w:tcBorders>
            <w:vAlign w:val="center"/>
          </w:tcPr>
          <w:p w:rsidR="00366130" w:rsidRPr="00482999" w:rsidRDefault="00366130" w:rsidP="00423BAD">
            <w:pPr>
              <w:snapToGrid w:val="0"/>
              <w:jc w:val="center"/>
              <w:rPr>
                <w:b/>
                <w:bCs/>
                <w:sz w:val="20"/>
                <w:szCs w:val="20"/>
              </w:rPr>
            </w:pPr>
            <w:r w:rsidRPr="00482999">
              <w:rPr>
                <w:b/>
                <w:bCs/>
                <w:sz w:val="20"/>
                <w:szCs w:val="20"/>
              </w:rPr>
              <w:t>2008</w:t>
            </w:r>
          </w:p>
        </w:tc>
        <w:tc>
          <w:tcPr>
            <w:tcW w:w="427" w:type="pct"/>
            <w:tcBorders>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5,0</w:t>
            </w:r>
          </w:p>
        </w:tc>
        <w:tc>
          <w:tcPr>
            <w:tcW w:w="381" w:type="pct"/>
            <w:tcBorders>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5,0</w:t>
            </w:r>
          </w:p>
        </w:tc>
        <w:tc>
          <w:tcPr>
            <w:tcW w:w="381" w:type="pct"/>
            <w:tcBorders>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4,9</w:t>
            </w:r>
          </w:p>
        </w:tc>
        <w:tc>
          <w:tcPr>
            <w:tcW w:w="428" w:type="pct"/>
            <w:tcBorders>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4,8</w:t>
            </w:r>
          </w:p>
        </w:tc>
        <w:tc>
          <w:tcPr>
            <w:tcW w:w="332" w:type="pct"/>
            <w:tcBorders>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4,8</w:t>
            </w:r>
          </w:p>
        </w:tc>
        <w:tc>
          <w:tcPr>
            <w:tcW w:w="355" w:type="pct"/>
            <w:tcBorders>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4,9</w:t>
            </w:r>
          </w:p>
        </w:tc>
        <w:tc>
          <w:tcPr>
            <w:tcW w:w="406" w:type="pct"/>
            <w:tcBorders>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5,1</w:t>
            </w:r>
          </w:p>
        </w:tc>
        <w:tc>
          <w:tcPr>
            <w:tcW w:w="375" w:type="pct"/>
            <w:tcBorders>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5,2</w:t>
            </w:r>
          </w:p>
        </w:tc>
        <w:tc>
          <w:tcPr>
            <w:tcW w:w="375" w:type="pct"/>
            <w:tcBorders>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5,3</w:t>
            </w:r>
          </w:p>
        </w:tc>
        <w:tc>
          <w:tcPr>
            <w:tcW w:w="375" w:type="pct"/>
            <w:tcBorders>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5,6</w:t>
            </w:r>
          </w:p>
        </w:tc>
        <w:tc>
          <w:tcPr>
            <w:tcW w:w="375" w:type="pct"/>
            <w:tcBorders>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6,1</w:t>
            </w:r>
          </w:p>
        </w:tc>
        <w:tc>
          <w:tcPr>
            <w:tcW w:w="378" w:type="pct"/>
            <w:tcBorders>
              <w:left w:val="single" w:sz="4" w:space="0" w:color="000000"/>
              <w:bottom w:val="single" w:sz="4" w:space="0" w:color="000000"/>
              <w:right w:val="single" w:sz="4" w:space="0" w:color="000000"/>
            </w:tcBorders>
            <w:vAlign w:val="center"/>
          </w:tcPr>
          <w:p w:rsidR="00366130" w:rsidRPr="00482999" w:rsidRDefault="00366130" w:rsidP="00423BAD">
            <w:pPr>
              <w:snapToGrid w:val="0"/>
              <w:jc w:val="center"/>
              <w:rPr>
                <w:sz w:val="18"/>
                <w:szCs w:val="18"/>
              </w:rPr>
            </w:pPr>
            <w:r w:rsidRPr="00482999">
              <w:rPr>
                <w:sz w:val="18"/>
                <w:szCs w:val="18"/>
              </w:rPr>
              <w:t>7,0</w:t>
            </w:r>
          </w:p>
        </w:tc>
      </w:tr>
      <w:tr w:rsidR="00366130" w:rsidRPr="00C528B7" w:rsidTr="00423BAD">
        <w:trPr>
          <w:trHeight w:val="125"/>
          <w:jc w:val="center"/>
        </w:trPr>
        <w:tc>
          <w:tcPr>
            <w:tcW w:w="41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b/>
                <w:bCs/>
                <w:sz w:val="20"/>
                <w:szCs w:val="20"/>
              </w:rPr>
            </w:pPr>
            <w:r w:rsidRPr="00482999">
              <w:rPr>
                <w:b/>
                <w:bCs/>
                <w:sz w:val="20"/>
                <w:szCs w:val="20"/>
              </w:rPr>
              <w:t>2009</w:t>
            </w:r>
          </w:p>
        </w:tc>
        <w:tc>
          <w:tcPr>
            <w:tcW w:w="427"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color w:val="000000"/>
                <w:sz w:val="18"/>
                <w:szCs w:val="18"/>
              </w:rPr>
            </w:pPr>
            <w:r w:rsidRPr="00482999">
              <w:rPr>
                <w:color w:val="000000"/>
                <w:sz w:val="18"/>
                <w:szCs w:val="18"/>
              </w:rPr>
              <w:t>8,3</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9,5</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10,7</w:t>
            </w:r>
          </w:p>
        </w:tc>
        <w:tc>
          <w:tcPr>
            <w:tcW w:w="428"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11,0</w:t>
            </w:r>
          </w:p>
        </w:tc>
        <w:tc>
          <w:tcPr>
            <w:tcW w:w="332"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11,3</w:t>
            </w:r>
          </w:p>
        </w:tc>
        <w:tc>
          <w:tcPr>
            <w:tcW w:w="35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11,5</w:t>
            </w:r>
          </w:p>
        </w:tc>
        <w:tc>
          <w:tcPr>
            <w:tcW w:w="406"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11,8</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12,3</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13,2</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14,1</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15,1</w:t>
            </w:r>
          </w:p>
        </w:tc>
        <w:tc>
          <w:tcPr>
            <w:tcW w:w="378" w:type="pct"/>
            <w:tcBorders>
              <w:top w:val="single" w:sz="4" w:space="0" w:color="000000"/>
              <w:left w:val="single" w:sz="4" w:space="0" w:color="000000"/>
              <w:bottom w:val="single" w:sz="4" w:space="0" w:color="000000"/>
              <w:right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16,0</w:t>
            </w:r>
          </w:p>
        </w:tc>
      </w:tr>
      <w:tr w:rsidR="00366130" w:rsidRPr="00C528B7" w:rsidTr="00423BAD">
        <w:trPr>
          <w:trHeight w:val="172"/>
          <w:jc w:val="center"/>
        </w:trPr>
        <w:tc>
          <w:tcPr>
            <w:tcW w:w="41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b/>
                <w:bCs/>
                <w:sz w:val="20"/>
                <w:szCs w:val="20"/>
              </w:rPr>
            </w:pPr>
            <w:r w:rsidRPr="00482999">
              <w:rPr>
                <w:b/>
                <w:bCs/>
                <w:sz w:val="20"/>
                <w:szCs w:val="20"/>
              </w:rPr>
              <w:t>2010</w:t>
            </w:r>
          </w:p>
        </w:tc>
        <w:tc>
          <w:tcPr>
            <w:tcW w:w="427"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color w:val="000000"/>
                <w:sz w:val="18"/>
                <w:szCs w:val="18"/>
              </w:rPr>
            </w:pPr>
            <w:r w:rsidRPr="00482999">
              <w:rPr>
                <w:color w:val="000000"/>
                <w:sz w:val="18"/>
                <w:szCs w:val="18"/>
              </w:rPr>
              <w:t>16,6</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17,1</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17,3</w:t>
            </w:r>
          </w:p>
        </w:tc>
        <w:tc>
          <w:tcPr>
            <w:tcW w:w="428"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16,7</w:t>
            </w:r>
          </w:p>
        </w:tc>
        <w:tc>
          <w:tcPr>
            <w:tcW w:w="332"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16,2</w:t>
            </w:r>
          </w:p>
        </w:tc>
        <w:tc>
          <w:tcPr>
            <w:tcW w:w="35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15,6</w:t>
            </w:r>
          </w:p>
        </w:tc>
        <w:tc>
          <w:tcPr>
            <w:tcW w:w="406"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15,3</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15,0</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14,6</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14,3</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14,3</w:t>
            </w:r>
          </w:p>
        </w:tc>
        <w:tc>
          <w:tcPr>
            <w:tcW w:w="378" w:type="pct"/>
            <w:tcBorders>
              <w:top w:val="single" w:sz="4" w:space="0" w:color="000000"/>
              <w:left w:val="single" w:sz="4" w:space="0" w:color="000000"/>
              <w:bottom w:val="single" w:sz="4" w:space="0" w:color="000000"/>
              <w:right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14,3</w:t>
            </w:r>
          </w:p>
        </w:tc>
      </w:tr>
      <w:tr w:rsidR="00366130" w:rsidRPr="00C528B7" w:rsidTr="00423BAD">
        <w:trPr>
          <w:trHeight w:val="204"/>
          <w:jc w:val="center"/>
        </w:trPr>
        <w:tc>
          <w:tcPr>
            <w:tcW w:w="41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b/>
                <w:bCs/>
                <w:sz w:val="20"/>
                <w:szCs w:val="20"/>
              </w:rPr>
            </w:pPr>
            <w:r w:rsidRPr="00482999">
              <w:rPr>
                <w:b/>
                <w:bCs/>
                <w:sz w:val="20"/>
                <w:szCs w:val="20"/>
              </w:rPr>
              <w:t>2011</w:t>
            </w:r>
          </w:p>
        </w:tc>
        <w:tc>
          <w:tcPr>
            <w:tcW w:w="427"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color w:val="000000"/>
                <w:sz w:val="18"/>
                <w:szCs w:val="18"/>
              </w:rPr>
            </w:pPr>
            <w:r w:rsidRPr="00482999">
              <w:rPr>
                <w:color w:val="000000"/>
                <w:sz w:val="18"/>
                <w:szCs w:val="18"/>
              </w:rPr>
              <w:t>14,5</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14,5</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14,4</w:t>
            </w:r>
          </w:p>
        </w:tc>
        <w:tc>
          <w:tcPr>
            <w:tcW w:w="428"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13,9</w:t>
            </w:r>
          </w:p>
        </w:tc>
        <w:tc>
          <w:tcPr>
            <w:tcW w:w="332"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13,2</w:t>
            </w:r>
          </w:p>
        </w:tc>
        <w:tc>
          <w:tcPr>
            <w:tcW w:w="35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12,6</w:t>
            </w:r>
          </w:p>
        </w:tc>
        <w:tc>
          <w:tcPr>
            <w:tcW w:w="406"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12,1</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11,8</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11,6</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11,5</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11,5</w:t>
            </w:r>
          </w:p>
        </w:tc>
        <w:tc>
          <w:tcPr>
            <w:tcW w:w="378" w:type="pct"/>
            <w:tcBorders>
              <w:top w:val="single" w:sz="4" w:space="0" w:color="000000"/>
              <w:left w:val="single" w:sz="4" w:space="0" w:color="000000"/>
              <w:bottom w:val="single" w:sz="4" w:space="0" w:color="000000"/>
              <w:right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11,5</w:t>
            </w:r>
          </w:p>
        </w:tc>
      </w:tr>
      <w:tr w:rsidR="00366130" w:rsidRPr="00C528B7" w:rsidTr="00423BAD">
        <w:trPr>
          <w:trHeight w:val="405"/>
          <w:jc w:val="center"/>
        </w:trPr>
        <w:tc>
          <w:tcPr>
            <w:tcW w:w="41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b/>
                <w:bCs/>
                <w:sz w:val="20"/>
                <w:szCs w:val="20"/>
              </w:rPr>
            </w:pPr>
            <w:r w:rsidRPr="00482999">
              <w:rPr>
                <w:b/>
                <w:bCs/>
                <w:sz w:val="20"/>
                <w:szCs w:val="20"/>
              </w:rPr>
              <w:t>2012</w:t>
            </w:r>
          </w:p>
        </w:tc>
        <w:tc>
          <w:tcPr>
            <w:tcW w:w="427"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color w:val="000000"/>
                <w:sz w:val="18"/>
                <w:szCs w:val="18"/>
              </w:rPr>
            </w:pPr>
            <w:r w:rsidRPr="00482999">
              <w:rPr>
                <w:color w:val="000000"/>
                <w:sz w:val="18"/>
                <w:szCs w:val="18"/>
              </w:rPr>
              <w:t>11,7</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11,8</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11,7</w:t>
            </w:r>
          </w:p>
        </w:tc>
        <w:tc>
          <w:tcPr>
            <w:tcW w:w="428"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11,3*/</w:t>
            </w:r>
          </w:p>
          <w:p w:rsidR="00366130" w:rsidRPr="00482999" w:rsidRDefault="00366130" w:rsidP="00423BAD">
            <w:pPr>
              <w:snapToGrid w:val="0"/>
              <w:jc w:val="center"/>
              <w:rPr>
                <w:b/>
                <w:bCs/>
                <w:sz w:val="18"/>
                <w:szCs w:val="18"/>
              </w:rPr>
            </w:pPr>
            <w:r w:rsidRPr="00482999">
              <w:rPr>
                <w:sz w:val="18"/>
                <w:szCs w:val="18"/>
              </w:rPr>
              <w:t>12,9**</w:t>
            </w:r>
          </w:p>
        </w:tc>
        <w:tc>
          <w:tcPr>
            <w:tcW w:w="332"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12,3</w:t>
            </w:r>
          </w:p>
        </w:tc>
        <w:tc>
          <w:tcPr>
            <w:tcW w:w="35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11,9</w:t>
            </w:r>
          </w:p>
        </w:tc>
        <w:tc>
          <w:tcPr>
            <w:tcW w:w="406"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11,6</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11,3</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11,0</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10,7</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10,6</w:t>
            </w:r>
          </w:p>
        </w:tc>
        <w:tc>
          <w:tcPr>
            <w:tcW w:w="378" w:type="pct"/>
            <w:tcBorders>
              <w:top w:val="single" w:sz="4" w:space="0" w:color="000000"/>
              <w:left w:val="single" w:sz="4" w:space="0" w:color="000000"/>
              <w:bottom w:val="single" w:sz="4" w:space="0" w:color="000000"/>
              <w:right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10,5</w:t>
            </w:r>
          </w:p>
        </w:tc>
      </w:tr>
      <w:tr w:rsidR="00366130" w:rsidRPr="00C528B7" w:rsidTr="00423BAD">
        <w:trPr>
          <w:trHeight w:val="253"/>
          <w:jc w:val="center"/>
        </w:trPr>
        <w:tc>
          <w:tcPr>
            <w:tcW w:w="41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b/>
                <w:bCs/>
                <w:sz w:val="20"/>
                <w:szCs w:val="20"/>
              </w:rPr>
            </w:pPr>
            <w:r w:rsidRPr="00482999">
              <w:rPr>
                <w:b/>
                <w:bCs/>
                <w:sz w:val="20"/>
                <w:szCs w:val="20"/>
              </w:rPr>
              <w:t>2013</w:t>
            </w:r>
          </w:p>
        </w:tc>
        <w:tc>
          <w:tcPr>
            <w:tcW w:w="427"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color w:val="000000"/>
                <w:sz w:val="18"/>
                <w:szCs w:val="18"/>
              </w:rPr>
            </w:pPr>
            <w:r w:rsidRPr="00482999">
              <w:rPr>
                <w:color w:val="000000"/>
                <w:sz w:val="18"/>
                <w:szCs w:val="18"/>
              </w:rPr>
              <w:t>10,9</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10,9</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10,8</w:t>
            </w:r>
          </w:p>
        </w:tc>
        <w:tc>
          <w:tcPr>
            <w:tcW w:w="428"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10,4</w:t>
            </w:r>
          </w:p>
        </w:tc>
        <w:tc>
          <w:tcPr>
            <w:tcW w:w="332"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bCs/>
                <w:sz w:val="18"/>
                <w:szCs w:val="18"/>
              </w:rPr>
            </w:pPr>
            <w:r w:rsidRPr="00482999">
              <w:rPr>
                <w:bCs/>
                <w:sz w:val="18"/>
                <w:szCs w:val="18"/>
              </w:rPr>
              <w:t>9,9</w:t>
            </w:r>
          </w:p>
        </w:tc>
        <w:tc>
          <w:tcPr>
            <w:tcW w:w="35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9,6</w:t>
            </w:r>
          </w:p>
        </w:tc>
        <w:tc>
          <w:tcPr>
            <w:tcW w:w="406"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9,5</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9,3</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9,1</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9,1</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9,3</w:t>
            </w:r>
          </w:p>
        </w:tc>
        <w:tc>
          <w:tcPr>
            <w:tcW w:w="378" w:type="pct"/>
            <w:tcBorders>
              <w:top w:val="single" w:sz="4" w:space="0" w:color="000000"/>
              <w:left w:val="single" w:sz="4" w:space="0" w:color="000000"/>
              <w:bottom w:val="single" w:sz="4" w:space="0" w:color="000000"/>
              <w:right w:val="single" w:sz="4" w:space="0" w:color="000000"/>
            </w:tcBorders>
            <w:vAlign w:val="center"/>
          </w:tcPr>
          <w:p w:rsidR="00366130" w:rsidRPr="00482999" w:rsidRDefault="00366130" w:rsidP="00423BAD">
            <w:pPr>
              <w:snapToGrid w:val="0"/>
              <w:jc w:val="center"/>
              <w:rPr>
                <w:bCs/>
                <w:sz w:val="18"/>
                <w:szCs w:val="18"/>
              </w:rPr>
            </w:pPr>
            <w:r w:rsidRPr="00482999">
              <w:rPr>
                <w:bCs/>
                <w:sz w:val="18"/>
                <w:szCs w:val="18"/>
              </w:rPr>
              <w:t>9,5</w:t>
            </w:r>
          </w:p>
        </w:tc>
      </w:tr>
      <w:tr w:rsidR="00366130" w:rsidRPr="00C528B7" w:rsidTr="00423BAD">
        <w:trPr>
          <w:trHeight w:val="253"/>
          <w:jc w:val="center"/>
        </w:trPr>
        <w:tc>
          <w:tcPr>
            <w:tcW w:w="41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b/>
                <w:bCs/>
                <w:sz w:val="20"/>
                <w:szCs w:val="20"/>
              </w:rPr>
            </w:pPr>
            <w:r w:rsidRPr="00482999">
              <w:rPr>
                <w:b/>
                <w:bCs/>
                <w:sz w:val="20"/>
                <w:szCs w:val="20"/>
              </w:rPr>
              <w:t>2014</w:t>
            </w:r>
          </w:p>
        </w:tc>
        <w:tc>
          <w:tcPr>
            <w:tcW w:w="427"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color w:val="000000"/>
                <w:sz w:val="18"/>
                <w:szCs w:val="18"/>
              </w:rPr>
            </w:pPr>
            <w:r w:rsidRPr="00482999">
              <w:rPr>
                <w:color w:val="000000"/>
                <w:sz w:val="18"/>
                <w:szCs w:val="18"/>
              </w:rPr>
              <w:t>9,8</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9,9</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9,8</w:t>
            </w:r>
          </w:p>
        </w:tc>
        <w:tc>
          <w:tcPr>
            <w:tcW w:w="428"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9,6</w:t>
            </w:r>
          </w:p>
        </w:tc>
        <w:tc>
          <w:tcPr>
            <w:tcW w:w="332"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bCs/>
                <w:sz w:val="18"/>
                <w:szCs w:val="18"/>
              </w:rPr>
            </w:pPr>
            <w:r w:rsidRPr="00482999">
              <w:rPr>
                <w:bCs/>
                <w:sz w:val="18"/>
                <w:szCs w:val="18"/>
              </w:rPr>
              <w:t>9,1</w:t>
            </w:r>
          </w:p>
        </w:tc>
        <w:tc>
          <w:tcPr>
            <w:tcW w:w="35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8,9</w:t>
            </w:r>
          </w:p>
        </w:tc>
        <w:tc>
          <w:tcPr>
            <w:tcW w:w="406"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8,6</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8,4</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8,2</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8,2</w:t>
            </w:r>
          </w:p>
        </w:tc>
        <w:tc>
          <w:tcPr>
            <w:tcW w:w="375"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sidRPr="00482999">
              <w:rPr>
                <w:sz w:val="18"/>
                <w:szCs w:val="18"/>
              </w:rPr>
              <w:t>8,3</w:t>
            </w:r>
          </w:p>
        </w:tc>
        <w:tc>
          <w:tcPr>
            <w:tcW w:w="378" w:type="pct"/>
            <w:tcBorders>
              <w:top w:val="single" w:sz="4" w:space="0" w:color="000000"/>
              <w:left w:val="single" w:sz="4" w:space="0" w:color="000000"/>
              <w:bottom w:val="single" w:sz="4" w:space="0" w:color="000000"/>
              <w:right w:val="single" w:sz="4" w:space="0" w:color="000000"/>
            </w:tcBorders>
            <w:vAlign w:val="center"/>
          </w:tcPr>
          <w:p w:rsidR="00366130" w:rsidRPr="002B54CC" w:rsidRDefault="00366130" w:rsidP="00423BAD">
            <w:pPr>
              <w:snapToGrid w:val="0"/>
              <w:jc w:val="center"/>
              <w:rPr>
                <w:bCs/>
                <w:sz w:val="18"/>
                <w:szCs w:val="18"/>
              </w:rPr>
            </w:pPr>
            <w:r w:rsidRPr="002B54CC">
              <w:rPr>
                <w:bCs/>
                <w:sz w:val="18"/>
                <w:szCs w:val="18"/>
              </w:rPr>
              <w:t>8,5</w:t>
            </w:r>
          </w:p>
        </w:tc>
      </w:tr>
      <w:tr w:rsidR="00366130" w:rsidRPr="00C528B7" w:rsidTr="00423BAD">
        <w:trPr>
          <w:trHeight w:val="253"/>
          <w:jc w:val="center"/>
        </w:trPr>
        <w:tc>
          <w:tcPr>
            <w:tcW w:w="41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b/>
                <w:bCs/>
                <w:sz w:val="20"/>
                <w:szCs w:val="20"/>
              </w:rPr>
            </w:pPr>
            <w:r>
              <w:rPr>
                <w:b/>
                <w:bCs/>
                <w:sz w:val="20"/>
                <w:szCs w:val="20"/>
              </w:rPr>
              <w:t>2015</w:t>
            </w:r>
          </w:p>
        </w:tc>
        <w:tc>
          <w:tcPr>
            <w:tcW w:w="427"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color w:val="000000"/>
                <w:sz w:val="18"/>
                <w:szCs w:val="18"/>
              </w:rPr>
            </w:pPr>
            <w:r>
              <w:rPr>
                <w:color w:val="000000"/>
                <w:sz w:val="18"/>
                <w:szCs w:val="18"/>
              </w:rPr>
              <w:t>9.0</w:t>
            </w:r>
          </w:p>
        </w:tc>
        <w:tc>
          <w:tcPr>
            <w:tcW w:w="381" w:type="pct"/>
            <w:tcBorders>
              <w:top w:val="single" w:sz="4" w:space="0" w:color="000000"/>
              <w:left w:val="single" w:sz="4" w:space="0" w:color="000000"/>
              <w:bottom w:val="single" w:sz="4" w:space="0" w:color="000000"/>
            </w:tcBorders>
            <w:vAlign w:val="center"/>
          </w:tcPr>
          <w:p w:rsidR="00366130" w:rsidRPr="00482999" w:rsidRDefault="00366130" w:rsidP="00423BAD">
            <w:pPr>
              <w:snapToGrid w:val="0"/>
              <w:jc w:val="center"/>
              <w:rPr>
                <w:sz w:val="18"/>
                <w:szCs w:val="18"/>
              </w:rPr>
            </w:pPr>
            <w:r>
              <w:rPr>
                <w:sz w:val="18"/>
                <w:szCs w:val="18"/>
              </w:rPr>
              <w:t>9.1</w:t>
            </w:r>
          </w:p>
        </w:tc>
        <w:tc>
          <w:tcPr>
            <w:tcW w:w="381" w:type="pct"/>
            <w:tcBorders>
              <w:top w:val="single" w:sz="4" w:space="0" w:color="000000"/>
              <w:left w:val="single" w:sz="4" w:space="0" w:color="000000"/>
              <w:bottom w:val="single" w:sz="4" w:space="0" w:color="000000"/>
            </w:tcBorders>
            <w:vAlign w:val="center"/>
          </w:tcPr>
          <w:p w:rsidR="00366130" w:rsidRPr="00482999" w:rsidRDefault="00B73123" w:rsidP="00423BAD">
            <w:pPr>
              <w:snapToGrid w:val="0"/>
              <w:jc w:val="center"/>
              <w:rPr>
                <w:sz w:val="18"/>
                <w:szCs w:val="18"/>
              </w:rPr>
            </w:pPr>
            <w:r>
              <w:rPr>
                <w:sz w:val="18"/>
                <w:szCs w:val="18"/>
              </w:rPr>
              <w:t>9,2</w:t>
            </w:r>
          </w:p>
        </w:tc>
        <w:tc>
          <w:tcPr>
            <w:tcW w:w="428" w:type="pct"/>
            <w:tcBorders>
              <w:top w:val="single" w:sz="4" w:space="0" w:color="000000"/>
              <w:left w:val="single" w:sz="4" w:space="0" w:color="000000"/>
              <w:bottom w:val="single" w:sz="4" w:space="0" w:color="000000"/>
            </w:tcBorders>
            <w:vAlign w:val="center"/>
          </w:tcPr>
          <w:p w:rsidR="00366130" w:rsidRPr="00482999" w:rsidRDefault="006D7CA0" w:rsidP="00423BAD">
            <w:pPr>
              <w:snapToGrid w:val="0"/>
              <w:jc w:val="center"/>
              <w:rPr>
                <w:sz w:val="18"/>
                <w:szCs w:val="18"/>
              </w:rPr>
            </w:pPr>
            <w:r>
              <w:rPr>
                <w:sz w:val="18"/>
                <w:szCs w:val="18"/>
              </w:rPr>
              <w:t>-</w:t>
            </w:r>
          </w:p>
        </w:tc>
        <w:tc>
          <w:tcPr>
            <w:tcW w:w="332" w:type="pct"/>
            <w:tcBorders>
              <w:top w:val="single" w:sz="4" w:space="0" w:color="000000"/>
              <w:left w:val="single" w:sz="4" w:space="0" w:color="000000"/>
              <w:bottom w:val="single" w:sz="4" w:space="0" w:color="000000"/>
            </w:tcBorders>
            <w:vAlign w:val="center"/>
          </w:tcPr>
          <w:p w:rsidR="00366130" w:rsidRPr="00482999" w:rsidRDefault="006D7CA0" w:rsidP="00423BAD">
            <w:pPr>
              <w:snapToGrid w:val="0"/>
              <w:jc w:val="center"/>
              <w:rPr>
                <w:bCs/>
                <w:sz w:val="18"/>
                <w:szCs w:val="18"/>
              </w:rPr>
            </w:pPr>
            <w:r>
              <w:rPr>
                <w:bCs/>
                <w:sz w:val="18"/>
                <w:szCs w:val="18"/>
              </w:rPr>
              <w:t>-</w:t>
            </w:r>
          </w:p>
        </w:tc>
        <w:tc>
          <w:tcPr>
            <w:tcW w:w="355" w:type="pct"/>
            <w:tcBorders>
              <w:top w:val="single" w:sz="4" w:space="0" w:color="000000"/>
              <w:left w:val="single" w:sz="4" w:space="0" w:color="000000"/>
              <w:bottom w:val="single" w:sz="4" w:space="0" w:color="000000"/>
            </w:tcBorders>
            <w:vAlign w:val="center"/>
          </w:tcPr>
          <w:p w:rsidR="00366130" w:rsidRPr="00482999" w:rsidRDefault="006D7CA0" w:rsidP="00423BAD">
            <w:pPr>
              <w:snapToGrid w:val="0"/>
              <w:jc w:val="center"/>
              <w:rPr>
                <w:sz w:val="18"/>
                <w:szCs w:val="18"/>
              </w:rPr>
            </w:pPr>
            <w:r>
              <w:rPr>
                <w:sz w:val="18"/>
                <w:szCs w:val="18"/>
              </w:rPr>
              <w:t>-</w:t>
            </w:r>
          </w:p>
        </w:tc>
        <w:tc>
          <w:tcPr>
            <w:tcW w:w="406" w:type="pct"/>
            <w:tcBorders>
              <w:top w:val="single" w:sz="4" w:space="0" w:color="000000"/>
              <w:left w:val="single" w:sz="4" w:space="0" w:color="000000"/>
              <w:bottom w:val="single" w:sz="4" w:space="0" w:color="000000"/>
            </w:tcBorders>
            <w:vAlign w:val="center"/>
          </w:tcPr>
          <w:p w:rsidR="00366130" w:rsidRPr="00482999" w:rsidRDefault="006D7CA0" w:rsidP="00423BAD">
            <w:pPr>
              <w:snapToGrid w:val="0"/>
              <w:jc w:val="center"/>
              <w:rPr>
                <w:sz w:val="18"/>
                <w:szCs w:val="18"/>
              </w:rPr>
            </w:pPr>
            <w:r>
              <w:rPr>
                <w:sz w:val="18"/>
                <w:szCs w:val="18"/>
              </w:rPr>
              <w:t>-</w:t>
            </w:r>
          </w:p>
        </w:tc>
        <w:tc>
          <w:tcPr>
            <w:tcW w:w="375" w:type="pct"/>
            <w:tcBorders>
              <w:top w:val="single" w:sz="4" w:space="0" w:color="000000"/>
              <w:left w:val="single" w:sz="4" w:space="0" w:color="000000"/>
              <w:bottom w:val="single" w:sz="4" w:space="0" w:color="000000"/>
            </w:tcBorders>
            <w:vAlign w:val="center"/>
          </w:tcPr>
          <w:p w:rsidR="00366130" w:rsidRPr="00482999" w:rsidRDefault="006D7CA0" w:rsidP="00423BAD">
            <w:pPr>
              <w:snapToGrid w:val="0"/>
              <w:jc w:val="center"/>
              <w:rPr>
                <w:sz w:val="18"/>
                <w:szCs w:val="18"/>
              </w:rPr>
            </w:pPr>
            <w:r>
              <w:rPr>
                <w:sz w:val="18"/>
                <w:szCs w:val="18"/>
              </w:rPr>
              <w:t>-</w:t>
            </w:r>
          </w:p>
        </w:tc>
        <w:tc>
          <w:tcPr>
            <w:tcW w:w="375" w:type="pct"/>
            <w:tcBorders>
              <w:top w:val="single" w:sz="4" w:space="0" w:color="000000"/>
              <w:left w:val="single" w:sz="4" w:space="0" w:color="000000"/>
              <w:bottom w:val="single" w:sz="4" w:space="0" w:color="000000"/>
            </w:tcBorders>
            <w:vAlign w:val="center"/>
          </w:tcPr>
          <w:p w:rsidR="00366130" w:rsidRPr="00482999" w:rsidRDefault="006D7CA0" w:rsidP="00423BAD">
            <w:pPr>
              <w:snapToGrid w:val="0"/>
              <w:jc w:val="center"/>
              <w:rPr>
                <w:sz w:val="18"/>
                <w:szCs w:val="18"/>
              </w:rPr>
            </w:pPr>
            <w:r>
              <w:rPr>
                <w:sz w:val="18"/>
                <w:szCs w:val="18"/>
              </w:rPr>
              <w:t>-</w:t>
            </w:r>
          </w:p>
        </w:tc>
        <w:tc>
          <w:tcPr>
            <w:tcW w:w="375" w:type="pct"/>
            <w:tcBorders>
              <w:top w:val="single" w:sz="4" w:space="0" w:color="000000"/>
              <w:left w:val="single" w:sz="4" w:space="0" w:color="000000"/>
              <w:bottom w:val="single" w:sz="4" w:space="0" w:color="000000"/>
            </w:tcBorders>
            <w:vAlign w:val="center"/>
          </w:tcPr>
          <w:p w:rsidR="00366130" w:rsidRPr="00482999" w:rsidRDefault="006D7CA0" w:rsidP="00423BAD">
            <w:pPr>
              <w:snapToGrid w:val="0"/>
              <w:jc w:val="center"/>
              <w:rPr>
                <w:sz w:val="18"/>
                <w:szCs w:val="18"/>
              </w:rPr>
            </w:pPr>
            <w:r>
              <w:rPr>
                <w:sz w:val="18"/>
                <w:szCs w:val="18"/>
              </w:rPr>
              <w:t>-</w:t>
            </w:r>
          </w:p>
        </w:tc>
        <w:tc>
          <w:tcPr>
            <w:tcW w:w="375" w:type="pct"/>
            <w:tcBorders>
              <w:top w:val="single" w:sz="4" w:space="0" w:color="000000"/>
              <w:left w:val="single" w:sz="4" w:space="0" w:color="000000"/>
              <w:bottom w:val="single" w:sz="4" w:space="0" w:color="000000"/>
            </w:tcBorders>
            <w:vAlign w:val="center"/>
          </w:tcPr>
          <w:p w:rsidR="00366130" w:rsidRPr="00482999" w:rsidRDefault="006D7CA0" w:rsidP="00423BAD">
            <w:pPr>
              <w:snapToGrid w:val="0"/>
              <w:jc w:val="center"/>
              <w:rPr>
                <w:sz w:val="18"/>
                <w:szCs w:val="18"/>
              </w:rPr>
            </w:pPr>
            <w:r>
              <w:rPr>
                <w:sz w:val="18"/>
                <w:szCs w:val="18"/>
              </w:rPr>
              <w:t>-</w:t>
            </w:r>
          </w:p>
        </w:tc>
        <w:tc>
          <w:tcPr>
            <w:tcW w:w="378" w:type="pct"/>
            <w:tcBorders>
              <w:top w:val="single" w:sz="4" w:space="0" w:color="000000"/>
              <w:left w:val="single" w:sz="4" w:space="0" w:color="000000"/>
              <w:bottom w:val="single" w:sz="4" w:space="0" w:color="000000"/>
              <w:right w:val="single" w:sz="4" w:space="0" w:color="000000"/>
            </w:tcBorders>
            <w:vAlign w:val="center"/>
          </w:tcPr>
          <w:p w:rsidR="00366130" w:rsidRPr="00482999" w:rsidRDefault="006D7CA0" w:rsidP="00423BAD">
            <w:pPr>
              <w:snapToGrid w:val="0"/>
              <w:jc w:val="center"/>
              <w:rPr>
                <w:b/>
                <w:bCs/>
                <w:sz w:val="18"/>
                <w:szCs w:val="18"/>
              </w:rPr>
            </w:pPr>
            <w:r>
              <w:rPr>
                <w:b/>
                <w:bCs/>
                <w:sz w:val="18"/>
                <w:szCs w:val="18"/>
              </w:rPr>
              <w:t>-</w:t>
            </w:r>
          </w:p>
        </w:tc>
      </w:tr>
      <w:tr w:rsidR="00366130" w:rsidRPr="00C528B7" w:rsidTr="00423BAD">
        <w:trPr>
          <w:trHeight w:val="253"/>
          <w:jc w:val="center"/>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rsidR="00366130" w:rsidRPr="00482999" w:rsidRDefault="00366130" w:rsidP="00423BAD">
            <w:pPr>
              <w:jc w:val="both"/>
              <w:rPr>
                <w:b/>
                <w:bCs/>
                <w:sz w:val="18"/>
                <w:szCs w:val="18"/>
              </w:rPr>
            </w:pPr>
            <w:r w:rsidRPr="00482999">
              <w:rPr>
                <w:color w:val="000000"/>
                <w:sz w:val="18"/>
                <w:szCs w:val="18"/>
              </w:rPr>
              <w:t>* Reģistrētā bezdarba līmenis valstī 2012.gada aprīļa beigās bija 11,3% (bezdarbnieku īpatsvars ekonomiski aktīvo iedzīvotāju kopskaitā pirms CSP veiktā pārrēķina atbilstoši tautas skaitīšanas datiem). Valstī bezdarba līmenis salīdzinājumā ar 2012.gada martu samazinājās par 0,4 %punktiem.</w:t>
            </w:r>
          </w:p>
        </w:tc>
      </w:tr>
      <w:tr w:rsidR="00366130" w:rsidRPr="00482999" w:rsidTr="00423BAD">
        <w:trPr>
          <w:trHeight w:val="253"/>
          <w:jc w:val="center"/>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rsidR="00366130" w:rsidRPr="00482999" w:rsidRDefault="00366130" w:rsidP="00423BAD">
            <w:pPr>
              <w:pStyle w:val="BlockText"/>
              <w:ind w:left="0" w:right="0" w:firstLine="17"/>
              <w:rPr>
                <w:rFonts w:ascii="Times New Roman" w:hAnsi="Times New Roman" w:cs="Times New Roman"/>
                <w:b/>
                <w:bCs/>
                <w:sz w:val="18"/>
                <w:szCs w:val="18"/>
              </w:rPr>
            </w:pPr>
            <w:r w:rsidRPr="00482999">
              <w:rPr>
                <w:rFonts w:ascii="Times New Roman" w:hAnsi="Times New Roman" w:cs="Times New Roman"/>
                <w:color w:val="000000"/>
                <w:sz w:val="18"/>
                <w:szCs w:val="18"/>
              </w:rPr>
              <w:t>** Ņemot vērā aktualizēto ekonomiski aktīvo iedzīvotāju skaitu, bezdarba līmenis 2012. gada aprīļa beigās ir 12,9 %, kas ir par 1,6  %punktiem augstāks, nekā rēķinot pēc iepriekš izmantotā ekonomiski aktīvo iedzīvotāju skaita. CSP aktualizētais ekonomiski aktīvo iedzīvotāju skaits tiks izmantots bezdarba līmeņa aprēķināšanai 2012.gada aprīlī un turpmākos mēnešos.</w:t>
            </w:r>
          </w:p>
        </w:tc>
      </w:tr>
    </w:tbl>
    <w:p w:rsidR="00366130" w:rsidRPr="00482999" w:rsidRDefault="00366130" w:rsidP="00366130">
      <w:pPr>
        <w:jc w:val="both"/>
        <w:rPr>
          <w:sz w:val="18"/>
          <w:szCs w:val="18"/>
        </w:rPr>
      </w:pPr>
      <w:r w:rsidRPr="00482999">
        <w:rPr>
          <w:sz w:val="18"/>
          <w:szCs w:val="18"/>
        </w:rPr>
        <w:t>Datu avots: Nodarbinātības valsts aģentūra</w:t>
      </w:r>
    </w:p>
    <w:p w:rsidR="00366130" w:rsidRDefault="00366130" w:rsidP="00366130">
      <w:pPr>
        <w:jc w:val="both"/>
        <w:rPr>
          <w:sz w:val="28"/>
          <w:szCs w:val="28"/>
        </w:rPr>
      </w:pPr>
    </w:p>
    <w:p w:rsidR="00AA7B23" w:rsidRDefault="007E68F9" w:rsidP="0020235B">
      <w:pPr>
        <w:autoSpaceDE w:val="0"/>
        <w:autoSpaceDN w:val="0"/>
        <w:adjustRightInd w:val="0"/>
        <w:ind w:firstLine="709"/>
        <w:jc w:val="both"/>
        <w:rPr>
          <w:color w:val="000000"/>
          <w:sz w:val="28"/>
          <w:szCs w:val="28"/>
        </w:rPr>
      </w:pPr>
      <w:r w:rsidRPr="0020235B">
        <w:rPr>
          <w:bCs/>
          <w:sz w:val="28"/>
          <w:szCs w:val="28"/>
        </w:rPr>
        <w:t xml:space="preserve">Saskaņā ar CSP </w:t>
      </w:r>
      <w:r w:rsidRPr="0020235B">
        <w:rPr>
          <w:color w:val="000000"/>
          <w:sz w:val="28"/>
          <w:szCs w:val="28"/>
        </w:rPr>
        <w:t>2014.gada ienākumu un dzīves apstākļu apsekojumā apkopoto iedzīvotāju viedokli par mājsaimniecību rīcībā esošo ienākumu pietiekamību</w:t>
      </w:r>
      <w:r w:rsidRPr="0020235B">
        <w:rPr>
          <w:b/>
          <w:bCs/>
          <w:color w:val="000000"/>
          <w:sz w:val="28"/>
          <w:szCs w:val="28"/>
        </w:rPr>
        <w:t xml:space="preserve"> 2014.gadā minimālā nepieciešamā summa ikdienas izdevumu </w:t>
      </w:r>
      <w:r w:rsidRPr="0020235B">
        <w:rPr>
          <w:b/>
          <w:bCs/>
          <w:color w:val="000000"/>
          <w:sz w:val="28"/>
          <w:szCs w:val="28"/>
        </w:rPr>
        <w:lastRenderedPageBreak/>
        <w:t xml:space="preserve">segšanai palielinājusies par 21 </w:t>
      </w:r>
      <w:proofErr w:type="spellStart"/>
      <w:r w:rsidRPr="00DE1F01">
        <w:rPr>
          <w:b/>
          <w:bCs/>
          <w:i/>
          <w:color w:val="000000"/>
          <w:sz w:val="28"/>
          <w:szCs w:val="28"/>
        </w:rPr>
        <w:t>e</w:t>
      </w:r>
      <w:r w:rsidR="00DE1F01" w:rsidRPr="00DE1F01">
        <w:rPr>
          <w:b/>
          <w:bCs/>
          <w:i/>
          <w:color w:val="000000"/>
          <w:sz w:val="28"/>
          <w:szCs w:val="28"/>
        </w:rPr>
        <w:t>u</w:t>
      </w:r>
      <w:r w:rsidRPr="00DE1F01">
        <w:rPr>
          <w:b/>
          <w:bCs/>
          <w:i/>
          <w:color w:val="000000"/>
          <w:sz w:val="28"/>
          <w:szCs w:val="28"/>
        </w:rPr>
        <w:t>ro</w:t>
      </w:r>
      <w:proofErr w:type="spellEnd"/>
      <w:r w:rsidRPr="0020235B">
        <w:rPr>
          <w:b/>
          <w:bCs/>
          <w:color w:val="000000"/>
          <w:sz w:val="28"/>
          <w:szCs w:val="28"/>
        </w:rPr>
        <w:t xml:space="preserve"> jeb 5%, sasniedzot 452 </w:t>
      </w:r>
      <w:proofErr w:type="spellStart"/>
      <w:r w:rsidRPr="00DE1F01">
        <w:rPr>
          <w:b/>
          <w:bCs/>
          <w:i/>
          <w:color w:val="000000"/>
          <w:sz w:val="28"/>
          <w:szCs w:val="28"/>
        </w:rPr>
        <w:t>e</w:t>
      </w:r>
      <w:r w:rsidR="00DE1F01" w:rsidRPr="00DE1F01">
        <w:rPr>
          <w:b/>
          <w:bCs/>
          <w:i/>
          <w:color w:val="000000"/>
          <w:sz w:val="28"/>
          <w:szCs w:val="28"/>
        </w:rPr>
        <w:t>u</w:t>
      </w:r>
      <w:r w:rsidRPr="00DE1F01">
        <w:rPr>
          <w:b/>
          <w:bCs/>
          <w:i/>
          <w:color w:val="000000"/>
          <w:sz w:val="28"/>
          <w:szCs w:val="28"/>
        </w:rPr>
        <w:t>ro</w:t>
      </w:r>
      <w:proofErr w:type="spellEnd"/>
      <w:r w:rsidRPr="0020235B">
        <w:rPr>
          <w:b/>
          <w:bCs/>
          <w:color w:val="000000"/>
          <w:sz w:val="28"/>
          <w:szCs w:val="28"/>
        </w:rPr>
        <w:t xml:space="preserve"> uz vienu mājsaimniecības</w:t>
      </w:r>
      <w:r w:rsidRPr="0020235B">
        <w:rPr>
          <w:rStyle w:val="FootnoteReference"/>
          <w:b/>
          <w:bCs/>
          <w:color w:val="000000"/>
          <w:sz w:val="28"/>
          <w:szCs w:val="28"/>
        </w:rPr>
        <w:footnoteReference w:id="2"/>
      </w:r>
      <w:r w:rsidRPr="0020235B">
        <w:rPr>
          <w:color w:val="000000"/>
          <w:sz w:val="28"/>
          <w:szCs w:val="28"/>
          <w:vertAlign w:val="superscript"/>
        </w:rPr>
        <w:t xml:space="preserve"> </w:t>
      </w:r>
      <w:r w:rsidRPr="0020235B">
        <w:rPr>
          <w:b/>
          <w:bCs/>
          <w:color w:val="000000"/>
          <w:sz w:val="28"/>
          <w:szCs w:val="28"/>
        </w:rPr>
        <w:t>locekli mēnesī</w:t>
      </w:r>
      <w:r w:rsidRPr="0020235B">
        <w:rPr>
          <w:color w:val="000000"/>
          <w:sz w:val="28"/>
          <w:szCs w:val="28"/>
        </w:rPr>
        <w:t>.</w:t>
      </w:r>
    </w:p>
    <w:p w:rsidR="0020235B" w:rsidRPr="00433599" w:rsidRDefault="00AA7B23" w:rsidP="00433599">
      <w:pPr>
        <w:autoSpaceDE w:val="0"/>
        <w:autoSpaceDN w:val="0"/>
        <w:adjustRightInd w:val="0"/>
        <w:ind w:firstLine="709"/>
        <w:jc w:val="both"/>
        <w:rPr>
          <w:color w:val="000000"/>
          <w:sz w:val="28"/>
          <w:szCs w:val="28"/>
        </w:rPr>
      </w:pPr>
      <w:r w:rsidRPr="00AA7B23">
        <w:rPr>
          <w:color w:val="000000"/>
          <w:sz w:val="28"/>
          <w:szCs w:val="28"/>
        </w:rPr>
        <w:t>Lai arī pēdējo gadu laikā ir palielinājušies mājsaimniecības rīcībā esošie</w:t>
      </w:r>
      <w:r>
        <w:rPr>
          <w:rStyle w:val="FootnoteReference"/>
          <w:color w:val="000000"/>
          <w:sz w:val="28"/>
          <w:szCs w:val="28"/>
        </w:rPr>
        <w:footnoteReference w:id="3"/>
      </w:r>
      <w:r w:rsidRPr="00AA7B23">
        <w:rPr>
          <w:color w:val="000000"/>
          <w:sz w:val="28"/>
          <w:szCs w:val="28"/>
        </w:rPr>
        <w:t xml:space="preserve"> ienākumi, to apjoms arvien nepārsniedz minimālo summu, kas būtu nepieciešama mājsaimniecībai ikdienas izdevumu segšanai. </w:t>
      </w:r>
      <w:r w:rsidR="0095092B" w:rsidRPr="00AA7B23">
        <w:rPr>
          <w:color w:val="000000"/>
          <w:sz w:val="28"/>
          <w:szCs w:val="28"/>
        </w:rPr>
        <w:t>2014.gadā ir uzlabojies mājsaimniecību vērtējums par savām iespējām segt nepieciešamos ikdienas izdevumus. Pēdējā gada laikā ir samazinājies mājsaimniecību īpatsvars, kurām ar lielām grūtībām izdodas segt ikdienas izdevumus. Arvien vairāk mājsaimniecību apgalvoja, ka ikdienas izdevumus sedz ar nelielām grūtībām vai samērā viegli. Segt nepieciešamos ikdienas izdevumus visgrūtāk bija vientuļajiem vecākā gadagājuma (vecumā virs 65</w:t>
      </w:r>
      <w:r w:rsidR="002A16E2">
        <w:rPr>
          <w:color w:val="000000"/>
          <w:sz w:val="28"/>
          <w:szCs w:val="28"/>
        </w:rPr>
        <w:t xml:space="preserve"> gadiem</w:t>
      </w:r>
      <w:r w:rsidR="0095092B" w:rsidRPr="00AA7B23">
        <w:rPr>
          <w:color w:val="000000"/>
          <w:sz w:val="28"/>
          <w:szCs w:val="28"/>
        </w:rPr>
        <w:t>) iedzīvotājiem, mājsaimniecībām, kur dzīvo viens pieaugušais ar bērniem</w:t>
      </w:r>
      <w:r w:rsidR="0095092B" w:rsidRPr="0020235B">
        <w:rPr>
          <w:color w:val="000000"/>
          <w:sz w:val="28"/>
          <w:szCs w:val="28"/>
        </w:rPr>
        <w:t>, kā arī mājsaimniecībām, kur dzīvo pāris ar trim un vairāk bērniem vecumā līdz 18</w:t>
      </w:r>
      <w:r w:rsidR="00DE1F01">
        <w:rPr>
          <w:color w:val="000000"/>
          <w:sz w:val="28"/>
          <w:szCs w:val="28"/>
        </w:rPr>
        <w:t> </w:t>
      </w:r>
      <w:r w:rsidR="0095092B" w:rsidRPr="0020235B">
        <w:rPr>
          <w:color w:val="000000"/>
          <w:sz w:val="28"/>
          <w:szCs w:val="28"/>
        </w:rPr>
        <w:t>gadiem.</w:t>
      </w:r>
      <w:r w:rsidR="0020235B" w:rsidRPr="0020235B">
        <w:rPr>
          <w:color w:val="000000"/>
          <w:sz w:val="28"/>
          <w:szCs w:val="28"/>
        </w:rPr>
        <w:t xml:space="preserve"> Salīdzinot ar 2013.gadu, par 12,6</w:t>
      </w:r>
      <w:r w:rsidR="0020235B">
        <w:rPr>
          <w:color w:val="000000"/>
          <w:sz w:val="28"/>
          <w:szCs w:val="28"/>
        </w:rPr>
        <w:t> </w:t>
      </w:r>
      <w:r w:rsidR="0020235B" w:rsidRPr="0020235B">
        <w:rPr>
          <w:color w:val="000000"/>
          <w:sz w:val="28"/>
          <w:szCs w:val="28"/>
        </w:rPr>
        <w:t xml:space="preserve">procentpunktiem ir samazinājies </w:t>
      </w:r>
      <w:r w:rsidR="0020235B" w:rsidRPr="00433599">
        <w:rPr>
          <w:color w:val="000000"/>
          <w:sz w:val="28"/>
          <w:szCs w:val="28"/>
        </w:rPr>
        <w:t>mājsaimniecību īpatsvars, kurās dzīvo pāris ar trim un vairāk bērniem un kuras apgalvo, ka nepieciešamos ikdienas izdevumus sedz ar grūtībām vai lielām grūtībām (no 63,9% 2013.gadā līdz 51,3% 2014.gadā).</w:t>
      </w:r>
    </w:p>
    <w:p w:rsidR="00433599" w:rsidRPr="00433599" w:rsidRDefault="00433599" w:rsidP="00433599">
      <w:pPr>
        <w:autoSpaceDE w:val="0"/>
        <w:autoSpaceDN w:val="0"/>
        <w:adjustRightInd w:val="0"/>
        <w:ind w:firstLine="709"/>
        <w:jc w:val="both"/>
        <w:rPr>
          <w:color w:val="000000"/>
          <w:sz w:val="28"/>
          <w:szCs w:val="28"/>
        </w:rPr>
      </w:pPr>
      <w:r w:rsidRPr="00433599">
        <w:rPr>
          <w:color w:val="000000"/>
          <w:sz w:val="28"/>
          <w:szCs w:val="28"/>
        </w:rPr>
        <w:t xml:space="preserve">2014.gadā trūcīgākajās mājsaimniecībās </w:t>
      </w:r>
      <w:r w:rsidR="00474D7E">
        <w:rPr>
          <w:color w:val="000000"/>
          <w:sz w:val="28"/>
          <w:szCs w:val="28"/>
        </w:rPr>
        <w:t>pēc 5 </w:t>
      </w:r>
      <w:proofErr w:type="spellStart"/>
      <w:r w:rsidR="00474D7E">
        <w:rPr>
          <w:color w:val="000000"/>
          <w:sz w:val="28"/>
          <w:szCs w:val="28"/>
        </w:rPr>
        <w:t>kvintiļu</w:t>
      </w:r>
      <w:proofErr w:type="spellEnd"/>
      <w:r w:rsidR="00474D7E">
        <w:rPr>
          <w:color w:val="000000"/>
          <w:sz w:val="28"/>
          <w:szCs w:val="28"/>
        </w:rPr>
        <w:t xml:space="preserve"> grupām</w:t>
      </w:r>
      <w:r w:rsidR="00286E6D">
        <w:rPr>
          <w:rStyle w:val="FootnoteReference"/>
          <w:color w:val="000000"/>
          <w:sz w:val="28"/>
          <w:szCs w:val="28"/>
        </w:rPr>
        <w:footnoteReference w:id="4"/>
      </w:r>
      <w:r w:rsidR="00474D7E">
        <w:rPr>
          <w:color w:val="000000"/>
          <w:sz w:val="28"/>
          <w:szCs w:val="28"/>
        </w:rPr>
        <w:t xml:space="preserve"> </w:t>
      </w:r>
      <w:r w:rsidRPr="00433599">
        <w:rPr>
          <w:color w:val="000000"/>
          <w:sz w:val="28"/>
          <w:szCs w:val="28"/>
        </w:rPr>
        <w:t>1.</w:t>
      </w:r>
      <w:r>
        <w:rPr>
          <w:color w:val="000000"/>
          <w:sz w:val="28"/>
          <w:szCs w:val="28"/>
        </w:rPr>
        <w:t> </w:t>
      </w:r>
      <w:r w:rsidR="00474D7E">
        <w:rPr>
          <w:color w:val="000000"/>
          <w:sz w:val="28"/>
          <w:szCs w:val="28"/>
        </w:rPr>
        <w:t xml:space="preserve">(zemākā) </w:t>
      </w:r>
      <w:proofErr w:type="spellStart"/>
      <w:r w:rsidRPr="00433599">
        <w:rPr>
          <w:color w:val="000000"/>
          <w:sz w:val="28"/>
          <w:szCs w:val="28"/>
        </w:rPr>
        <w:t>kvintiļu</w:t>
      </w:r>
      <w:proofErr w:type="spellEnd"/>
      <w:r w:rsidRPr="00433599">
        <w:rPr>
          <w:color w:val="000000"/>
          <w:sz w:val="28"/>
          <w:szCs w:val="28"/>
        </w:rPr>
        <w:t xml:space="preserve"> grupa norādīja, ka ikdienas izdevumu segšanai tām būtu nepieciešami 318 </w:t>
      </w:r>
      <w:proofErr w:type="spellStart"/>
      <w:r w:rsidRPr="00DE1F01">
        <w:rPr>
          <w:i/>
          <w:color w:val="000000"/>
          <w:sz w:val="28"/>
          <w:szCs w:val="28"/>
        </w:rPr>
        <w:t>e</w:t>
      </w:r>
      <w:r w:rsidR="00DE1F01" w:rsidRPr="00DE1F01">
        <w:rPr>
          <w:i/>
          <w:color w:val="000000"/>
          <w:sz w:val="28"/>
          <w:szCs w:val="28"/>
        </w:rPr>
        <w:t>u</w:t>
      </w:r>
      <w:r w:rsidRPr="00DE1F01">
        <w:rPr>
          <w:i/>
          <w:color w:val="000000"/>
          <w:sz w:val="28"/>
          <w:szCs w:val="28"/>
        </w:rPr>
        <w:t>ro</w:t>
      </w:r>
      <w:proofErr w:type="spellEnd"/>
      <w:r w:rsidRPr="00433599">
        <w:rPr>
          <w:color w:val="000000"/>
          <w:sz w:val="28"/>
          <w:szCs w:val="28"/>
        </w:rPr>
        <w:t xml:space="preserve"> uz vienu mājsaimniecības locekli mēnesī. 73,1% šo mājsaimniecību ikdienas izdevumus sedza ar grūtībām vai ar lielām grūtībām, un tikai 1,4% – viegli vai ļoti viegli. Turīgāk</w:t>
      </w:r>
      <w:r w:rsidR="00286E6D">
        <w:rPr>
          <w:color w:val="000000"/>
          <w:sz w:val="28"/>
          <w:szCs w:val="28"/>
        </w:rPr>
        <w:t>ās</w:t>
      </w:r>
      <w:r w:rsidRPr="00433599">
        <w:rPr>
          <w:color w:val="000000"/>
          <w:sz w:val="28"/>
          <w:szCs w:val="28"/>
        </w:rPr>
        <w:t xml:space="preserve"> mājsaimniecīb</w:t>
      </w:r>
      <w:r w:rsidR="00286E6D">
        <w:rPr>
          <w:color w:val="000000"/>
          <w:sz w:val="28"/>
          <w:szCs w:val="28"/>
        </w:rPr>
        <w:t>as</w:t>
      </w:r>
      <w:r w:rsidRPr="00433599">
        <w:rPr>
          <w:color w:val="000000"/>
          <w:sz w:val="28"/>
          <w:szCs w:val="28"/>
        </w:rPr>
        <w:t xml:space="preserve"> 5.</w:t>
      </w:r>
      <w:r w:rsidR="00474D7E">
        <w:rPr>
          <w:color w:val="000000"/>
          <w:sz w:val="28"/>
          <w:szCs w:val="28"/>
        </w:rPr>
        <w:t xml:space="preserve"> (augstākā) </w:t>
      </w:r>
      <w:proofErr w:type="spellStart"/>
      <w:r w:rsidRPr="00433599">
        <w:rPr>
          <w:color w:val="000000"/>
          <w:sz w:val="28"/>
          <w:szCs w:val="28"/>
        </w:rPr>
        <w:t>kvintiļu</w:t>
      </w:r>
      <w:proofErr w:type="spellEnd"/>
      <w:r w:rsidRPr="00433599">
        <w:rPr>
          <w:color w:val="000000"/>
          <w:sz w:val="28"/>
          <w:szCs w:val="28"/>
        </w:rPr>
        <w:t xml:space="preserve"> grupa</w:t>
      </w:r>
      <w:r w:rsidR="00286E6D">
        <w:rPr>
          <w:color w:val="000000"/>
          <w:sz w:val="28"/>
          <w:szCs w:val="28"/>
        </w:rPr>
        <w:t xml:space="preserve"> norādīja, ka</w:t>
      </w:r>
      <w:r w:rsidRPr="00433599">
        <w:rPr>
          <w:color w:val="000000"/>
          <w:sz w:val="28"/>
          <w:szCs w:val="28"/>
        </w:rPr>
        <w:t xml:space="preserve"> ikdienas izdevumiem nepieciešamā summa </w:t>
      </w:r>
      <w:r w:rsidR="00286E6D">
        <w:rPr>
          <w:color w:val="000000"/>
          <w:sz w:val="28"/>
          <w:szCs w:val="28"/>
        </w:rPr>
        <w:t>ir</w:t>
      </w:r>
      <w:r w:rsidRPr="00433599">
        <w:rPr>
          <w:color w:val="000000"/>
          <w:sz w:val="28"/>
          <w:szCs w:val="28"/>
        </w:rPr>
        <w:t xml:space="preserve"> ievērojami augstāka – 658 </w:t>
      </w:r>
      <w:proofErr w:type="spellStart"/>
      <w:r w:rsidRPr="00DE1F01">
        <w:rPr>
          <w:i/>
          <w:color w:val="000000"/>
          <w:sz w:val="28"/>
          <w:szCs w:val="28"/>
        </w:rPr>
        <w:t>e</w:t>
      </w:r>
      <w:r w:rsidR="00DE1F01" w:rsidRPr="00DE1F01">
        <w:rPr>
          <w:i/>
          <w:color w:val="000000"/>
          <w:sz w:val="28"/>
          <w:szCs w:val="28"/>
        </w:rPr>
        <w:t>u</w:t>
      </w:r>
      <w:r w:rsidRPr="00DE1F01">
        <w:rPr>
          <w:i/>
          <w:color w:val="000000"/>
          <w:sz w:val="28"/>
          <w:szCs w:val="28"/>
        </w:rPr>
        <w:t>ro</w:t>
      </w:r>
      <w:proofErr w:type="spellEnd"/>
      <w:r w:rsidRPr="00433599">
        <w:rPr>
          <w:color w:val="000000"/>
          <w:sz w:val="28"/>
          <w:szCs w:val="28"/>
        </w:rPr>
        <w:t xml:space="preserve"> uz vienu mājsaimniecības locekli mēnesī. 20,9% turīgāko mājsaimniecību norādīja, ka tās spēj segt ikdienas izdevumus ar grūtībām vai ar lielām grūtībām. Turklāt salīdzinājumā ar 2013.gadu tieši turīgāko mājsaimniecību vidū visstraujāk samazinājies mājsaimniecību skaits, kuras ar grūtībām vai ar lielām grūtībām sedza ikdienas izdevumus – no 27,4% 2013.gadā līdz 20,9% 2014.gadā.</w:t>
      </w:r>
    </w:p>
    <w:p w:rsidR="003C7503" w:rsidRDefault="003C7503" w:rsidP="003C7503">
      <w:pPr>
        <w:ind w:firstLine="720"/>
        <w:jc w:val="both"/>
        <w:rPr>
          <w:sz w:val="28"/>
          <w:szCs w:val="28"/>
        </w:rPr>
      </w:pPr>
      <w:r>
        <w:rPr>
          <w:sz w:val="28"/>
          <w:szCs w:val="28"/>
        </w:rPr>
        <w:t>2014.gada 5.novembrī parakstītās</w:t>
      </w:r>
      <w:r w:rsidRPr="00202C57">
        <w:rPr>
          <w:sz w:val="28"/>
          <w:szCs w:val="28"/>
        </w:rPr>
        <w:t xml:space="preserve"> </w:t>
      </w:r>
      <w:r>
        <w:rPr>
          <w:sz w:val="28"/>
          <w:szCs w:val="28"/>
        </w:rPr>
        <w:t>Deklarācijas</w:t>
      </w:r>
      <w:r w:rsidRPr="00202C57">
        <w:rPr>
          <w:sz w:val="28"/>
          <w:szCs w:val="28"/>
        </w:rPr>
        <w:t xml:space="preserve"> par Laimdotas </w:t>
      </w:r>
      <w:proofErr w:type="spellStart"/>
      <w:r w:rsidRPr="00202C57">
        <w:rPr>
          <w:sz w:val="28"/>
          <w:szCs w:val="28"/>
        </w:rPr>
        <w:t>Straujumas</w:t>
      </w:r>
      <w:proofErr w:type="spellEnd"/>
      <w:r w:rsidRPr="00202C57">
        <w:rPr>
          <w:sz w:val="28"/>
          <w:szCs w:val="28"/>
        </w:rPr>
        <w:t xml:space="preserve"> vadītā Ministru kabineta iecerēto darbību</w:t>
      </w:r>
      <w:r>
        <w:rPr>
          <w:sz w:val="28"/>
          <w:szCs w:val="28"/>
        </w:rPr>
        <w:t xml:space="preserve"> 89.punktā ir minēts, ka</w:t>
      </w:r>
      <w:r w:rsidRPr="00202C57">
        <w:rPr>
          <w:sz w:val="28"/>
          <w:szCs w:val="28"/>
        </w:rPr>
        <w:t xml:space="preserve"> minimālā mēneša darba alga </w:t>
      </w:r>
      <w:r>
        <w:rPr>
          <w:sz w:val="28"/>
          <w:szCs w:val="28"/>
        </w:rPr>
        <w:t xml:space="preserve">būtu jāpaaugstina </w:t>
      </w:r>
      <w:r w:rsidRPr="00BF17EA">
        <w:rPr>
          <w:sz w:val="28"/>
          <w:szCs w:val="28"/>
        </w:rPr>
        <w:t>nākamajos gados, lai pakāpeniski sasniegtu pusi no vidējā atalgojuma tautsaimniecībā.</w:t>
      </w:r>
      <w:r>
        <w:rPr>
          <w:sz w:val="28"/>
          <w:szCs w:val="28"/>
        </w:rPr>
        <w:t xml:space="preserve"> </w:t>
      </w:r>
      <w:r w:rsidRPr="00925BEB">
        <w:rPr>
          <w:sz w:val="28"/>
          <w:szCs w:val="28"/>
        </w:rPr>
        <w:t xml:space="preserve">Ņemot vērā pēdējos </w:t>
      </w:r>
      <w:r>
        <w:rPr>
          <w:sz w:val="28"/>
          <w:szCs w:val="28"/>
        </w:rPr>
        <w:t xml:space="preserve">CSP </w:t>
      </w:r>
      <w:r w:rsidRPr="00925BEB">
        <w:rPr>
          <w:sz w:val="28"/>
          <w:szCs w:val="28"/>
        </w:rPr>
        <w:t>datus</w:t>
      </w:r>
      <w:r>
        <w:rPr>
          <w:sz w:val="28"/>
          <w:szCs w:val="28"/>
        </w:rPr>
        <w:t>,</w:t>
      </w:r>
      <w:r w:rsidRPr="00925BEB">
        <w:rPr>
          <w:sz w:val="28"/>
          <w:szCs w:val="28"/>
        </w:rPr>
        <w:t xml:space="preserve"> minimālā mēneša darba alga </w:t>
      </w:r>
      <w:r>
        <w:rPr>
          <w:sz w:val="28"/>
          <w:szCs w:val="28"/>
        </w:rPr>
        <w:t>(360 </w:t>
      </w:r>
      <w:proofErr w:type="spellStart"/>
      <w:r w:rsidRPr="00DE1F01">
        <w:rPr>
          <w:i/>
          <w:sz w:val="28"/>
          <w:szCs w:val="28"/>
        </w:rPr>
        <w:t>euro</w:t>
      </w:r>
      <w:proofErr w:type="spellEnd"/>
      <w:r>
        <w:rPr>
          <w:sz w:val="28"/>
          <w:szCs w:val="28"/>
        </w:rPr>
        <w:t xml:space="preserve">) </w:t>
      </w:r>
      <w:r w:rsidRPr="00925BEB">
        <w:rPr>
          <w:sz w:val="28"/>
          <w:szCs w:val="28"/>
        </w:rPr>
        <w:t xml:space="preserve">patlaban ir </w:t>
      </w:r>
      <w:r w:rsidRPr="00553F40">
        <w:rPr>
          <w:b/>
          <w:sz w:val="28"/>
          <w:szCs w:val="28"/>
        </w:rPr>
        <w:t>47,</w:t>
      </w:r>
      <w:r>
        <w:rPr>
          <w:b/>
          <w:sz w:val="28"/>
          <w:szCs w:val="28"/>
        </w:rPr>
        <w:t>0</w:t>
      </w:r>
      <w:r w:rsidRPr="00553F40">
        <w:rPr>
          <w:b/>
          <w:sz w:val="28"/>
          <w:szCs w:val="28"/>
        </w:rPr>
        <w:t>%</w:t>
      </w:r>
      <w:r w:rsidRPr="00925BEB">
        <w:rPr>
          <w:sz w:val="28"/>
          <w:szCs w:val="28"/>
        </w:rPr>
        <w:t xml:space="preserve"> apmērā no mēneša </w:t>
      </w:r>
      <w:r w:rsidRPr="00925BEB">
        <w:rPr>
          <w:sz w:val="28"/>
          <w:szCs w:val="28"/>
        </w:rPr>
        <w:lastRenderedPageBreak/>
        <w:t>vidējās bruto darba samaksas par 2014.gad</w:t>
      </w:r>
      <w:r>
        <w:rPr>
          <w:sz w:val="28"/>
          <w:szCs w:val="28"/>
        </w:rPr>
        <w:t>u</w:t>
      </w:r>
      <w:r w:rsidRPr="00925BEB">
        <w:rPr>
          <w:sz w:val="28"/>
          <w:szCs w:val="28"/>
        </w:rPr>
        <w:t xml:space="preserve"> (7</w:t>
      </w:r>
      <w:r>
        <w:rPr>
          <w:sz w:val="28"/>
          <w:szCs w:val="28"/>
        </w:rPr>
        <w:t>65</w:t>
      </w:r>
      <w:r w:rsidRPr="00925BEB">
        <w:rPr>
          <w:sz w:val="28"/>
          <w:szCs w:val="28"/>
        </w:rPr>
        <w:t> </w:t>
      </w:r>
      <w:proofErr w:type="spellStart"/>
      <w:r w:rsidRPr="00D31BF1">
        <w:rPr>
          <w:i/>
          <w:sz w:val="28"/>
          <w:szCs w:val="28"/>
        </w:rPr>
        <w:t>euro</w:t>
      </w:r>
      <w:proofErr w:type="spellEnd"/>
      <w:r w:rsidRPr="00925BEB">
        <w:rPr>
          <w:sz w:val="28"/>
          <w:szCs w:val="28"/>
        </w:rPr>
        <w:t>)</w:t>
      </w:r>
      <w:r>
        <w:rPr>
          <w:sz w:val="28"/>
          <w:szCs w:val="28"/>
        </w:rPr>
        <w:t>, bet ņemot vērā Ekonomikas ministrijas prognozes – minimālā mēneša darba alga (360 </w:t>
      </w:r>
      <w:proofErr w:type="spellStart"/>
      <w:r>
        <w:rPr>
          <w:sz w:val="28"/>
          <w:szCs w:val="28"/>
        </w:rPr>
        <w:t>euro</w:t>
      </w:r>
      <w:proofErr w:type="spellEnd"/>
      <w:r>
        <w:rPr>
          <w:sz w:val="28"/>
          <w:szCs w:val="28"/>
        </w:rPr>
        <w:t xml:space="preserve">) ir </w:t>
      </w:r>
      <w:r w:rsidRPr="00553F40">
        <w:rPr>
          <w:b/>
          <w:sz w:val="28"/>
          <w:szCs w:val="28"/>
        </w:rPr>
        <w:t>4</w:t>
      </w:r>
      <w:r>
        <w:rPr>
          <w:b/>
          <w:sz w:val="28"/>
          <w:szCs w:val="28"/>
        </w:rPr>
        <w:t>5</w:t>
      </w:r>
      <w:r w:rsidRPr="00553F40">
        <w:rPr>
          <w:b/>
          <w:sz w:val="28"/>
          <w:szCs w:val="28"/>
        </w:rPr>
        <w:t>%</w:t>
      </w:r>
      <w:r>
        <w:rPr>
          <w:sz w:val="28"/>
          <w:szCs w:val="28"/>
        </w:rPr>
        <w:t xml:space="preserve"> no </w:t>
      </w:r>
      <w:r w:rsidRPr="00925BEB">
        <w:rPr>
          <w:sz w:val="28"/>
          <w:szCs w:val="28"/>
        </w:rPr>
        <w:t>mēneša vidējās bruto darba samaks</w:t>
      </w:r>
      <w:r>
        <w:rPr>
          <w:sz w:val="28"/>
          <w:szCs w:val="28"/>
        </w:rPr>
        <w:t>u</w:t>
      </w:r>
      <w:r w:rsidRPr="00925BEB">
        <w:rPr>
          <w:sz w:val="28"/>
          <w:szCs w:val="28"/>
        </w:rPr>
        <w:t xml:space="preserve"> par 201</w:t>
      </w:r>
      <w:r>
        <w:rPr>
          <w:sz w:val="28"/>
          <w:szCs w:val="28"/>
        </w:rPr>
        <w:t>5</w:t>
      </w:r>
      <w:r w:rsidRPr="00925BEB">
        <w:rPr>
          <w:sz w:val="28"/>
          <w:szCs w:val="28"/>
        </w:rPr>
        <w:t>.</w:t>
      </w:r>
      <w:r>
        <w:rPr>
          <w:sz w:val="28"/>
          <w:szCs w:val="28"/>
        </w:rPr>
        <w:t>gadu (796 </w:t>
      </w:r>
      <w:proofErr w:type="spellStart"/>
      <w:r w:rsidRPr="00D31BF1">
        <w:rPr>
          <w:i/>
          <w:sz w:val="28"/>
          <w:szCs w:val="28"/>
        </w:rPr>
        <w:t>euro</w:t>
      </w:r>
      <w:proofErr w:type="spellEnd"/>
      <w:r>
        <w:rPr>
          <w:sz w:val="28"/>
          <w:szCs w:val="28"/>
        </w:rPr>
        <w:t>)</w:t>
      </w:r>
      <w:r w:rsidRPr="00925BEB">
        <w:rPr>
          <w:sz w:val="28"/>
          <w:szCs w:val="28"/>
        </w:rPr>
        <w:t>.</w:t>
      </w:r>
      <w:r>
        <w:rPr>
          <w:sz w:val="28"/>
          <w:szCs w:val="28"/>
        </w:rPr>
        <w:t xml:space="preserve"> Izmantojot šo atskaites lielumu, tālāk sniegtajos priekšlikumos minimālā mēneša darba alga </w:t>
      </w:r>
      <w:r w:rsidRPr="00180DA0">
        <w:rPr>
          <w:sz w:val="28"/>
          <w:szCs w:val="28"/>
        </w:rPr>
        <w:t>1.variantā</w:t>
      </w:r>
      <w:r>
        <w:rPr>
          <w:sz w:val="28"/>
          <w:szCs w:val="28"/>
        </w:rPr>
        <w:t xml:space="preserve"> būtu</w:t>
      </w:r>
      <w:r w:rsidRPr="00180DA0">
        <w:rPr>
          <w:sz w:val="28"/>
          <w:szCs w:val="28"/>
        </w:rPr>
        <w:t xml:space="preserve"> 45,</w:t>
      </w:r>
      <w:r>
        <w:rPr>
          <w:sz w:val="28"/>
          <w:szCs w:val="28"/>
        </w:rPr>
        <w:t>0</w:t>
      </w:r>
      <w:r w:rsidRPr="00180DA0">
        <w:rPr>
          <w:sz w:val="28"/>
          <w:szCs w:val="28"/>
        </w:rPr>
        <w:t>%, 2.variantā 4</w:t>
      </w:r>
      <w:r>
        <w:rPr>
          <w:sz w:val="28"/>
          <w:szCs w:val="28"/>
        </w:rPr>
        <w:t>6,1</w:t>
      </w:r>
      <w:r w:rsidRPr="00180DA0">
        <w:rPr>
          <w:sz w:val="28"/>
          <w:szCs w:val="28"/>
        </w:rPr>
        <w:t xml:space="preserve">%, </w:t>
      </w:r>
      <w:r>
        <w:rPr>
          <w:sz w:val="28"/>
          <w:szCs w:val="28"/>
        </w:rPr>
        <w:t>savukārt 3.</w:t>
      </w:r>
      <w:r w:rsidRPr="00180DA0">
        <w:rPr>
          <w:sz w:val="28"/>
          <w:szCs w:val="28"/>
        </w:rPr>
        <w:t>variantā 4</w:t>
      </w:r>
      <w:r>
        <w:rPr>
          <w:sz w:val="28"/>
          <w:szCs w:val="28"/>
        </w:rPr>
        <w:t>7,1</w:t>
      </w:r>
      <w:r w:rsidRPr="00180DA0">
        <w:rPr>
          <w:sz w:val="28"/>
          <w:szCs w:val="28"/>
        </w:rPr>
        <w:t>% no vidējās</w:t>
      </w:r>
      <w:r>
        <w:rPr>
          <w:sz w:val="28"/>
          <w:szCs w:val="28"/>
        </w:rPr>
        <w:t xml:space="preserve"> 2015.gadā prognozētās mēneša vidējās</w:t>
      </w:r>
      <w:r w:rsidRPr="00180DA0">
        <w:rPr>
          <w:sz w:val="28"/>
          <w:szCs w:val="28"/>
        </w:rPr>
        <w:t xml:space="preserve"> bruto darba samaksas.</w:t>
      </w:r>
    </w:p>
    <w:p w:rsidR="003C7503" w:rsidRPr="00C43BE8" w:rsidRDefault="003C7503" w:rsidP="003C7503">
      <w:pPr>
        <w:autoSpaceDE w:val="0"/>
        <w:autoSpaceDN w:val="0"/>
        <w:adjustRightInd w:val="0"/>
        <w:ind w:firstLine="720"/>
        <w:jc w:val="both"/>
        <w:rPr>
          <w:sz w:val="28"/>
          <w:szCs w:val="28"/>
        </w:rPr>
      </w:pPr>
      <w:r>
        <w:rPr>
          <w:color w:val="000000"/>
          <w:sz w:val="28"/>
          <w:szCs w:val="28"/>
        </w:rPr>
        <w:t xml:space="preserve">Ekonomikas ministrija prognozē, ka </w:t>
      </w:r>
      <w:r w:rsidRPr="00C43BE8">
        <w:rPr>
          <w:sz w:val="28"/>
          <w:szCs w:val="28"/>
        </w:rPr>
        <w:t>ekonomisko aktivitāšu pieaugums veicinās darba samaksas pieaugumu arī 201</w:t>
      </w:r>
      <w:r>
        <w:rPr>
          <w:sz w:val="28"/>
          <w:szCs w:val="28"/>
        </w:rPr>
        <w:t>5</w:t>
      </w:r>
      <w:r w:rsidRPr="00C43BE8">
        <w:rPr>
          <w:sz w:val="28"/>
          <w:szCs w:val="28"/>
        </w:rPr>
        <w:t>.gadā. 201</w:t>
      </w:r>
      <w:r>
        <w:rPr>
          <w:sz w:val="28"/>
          <w:szCs w:val="28"/>
        </w:rPr>
        <w:t>4</w:t>
      </w:r>
      <w:r w:rsidRPr="00C43BE8">
        <w:rPr>
          <w:sz w:val="28"/>
          <w:szCs w:val="28"/>
        </w:rPr>
        <w:t>.gadā vidējā bruto darba samaksa, salīdzinot ar 201</w:t>
      </w:r>
      <w:r>
        <w:rPr>
          <w:sz w:val="28"/>
          <w:szCs w:val="28"/>
        </w:rPr>
        <w:t>3</w:t>
      </w:r>
      <w:r w:rsidRPr="00C43BE8">
        <w:rPr>
          <w:sz w:val="28"/>
          <w:szCs w:val="28"/>
        </w:rPr>
        <w:t>.gadu, pieaug</w:t>
      </w:r>
      <w:r>
        <w:rPr>
          <w:sz w:val="28"/>
          <w:szCs w:val="28"/>
        </w:rPr>
        <w:t>a</w:t>
      </w:r>
      <w:r w:rsidRPr="00C43BE8">
        <w:rPr>
          <w:sz w:val="28"/>
          <w:szCs w:val="28"/>
        </w:rPr>
        <w:t xml:space="preserve"> par 4,</w:t>
      </w:r>
      <w:r>
        <w:rPr>
          <w:sz w:val="28"/>
          <w:szCs w:val="28"/>
        </w:rPr>
        <w:t>1</w:t>
      </w:r>
      <w:r w:rsidRPr="00C43BE8">
        <w:rPr>
          <w:sz w:val="28"/>
          <w:szCs w:val="28"/>
        </w:rPr>
        <w:t>% un bija 7</w:t>
      </w:r>
      <w:r>
        <w:rPr>
          <w:sz w:val="28"/>
          <w:szCs w:val="28"/>
        </w:rPr>
        <w:t>65</w:t>
      </w:r>
      <w:r w:rsidRPr="00C43BE8">
        <w:rPr>
          <w:sz w:val="28"/>
          <w:szCs w:val="28"/>
        </w:rPr>
        <w:t xml:space="preserve"> </w:t>
      </w:r>
      <w:proofErr w:type="spellStart"/>
      <w:r w:rsidRPr="00DE1F01">
        <w:rPr>
          <w:i/>
          <w:sz w:val="28"/>
          <w:szCs w:val="28"/>
        </w:rPr>
        <w:t>euro</w:t>
      </w:r>
      <w:proofErr w:type="spellEnd"/>
      <w:r w:rsidRPr="00C43BE8">
        <w:rPr>
          <w:sz w:val="28"/>
          <w:szCs w:val="28"/>
        </w:rPr>
        <w:t>.</w:t>
      </w:r>
      <w:r w:rsidRPr="00F06D47">
        <w:rPr>
          <w:sz w:val="28"/>
          <w:szCs w:val="28"/>
        </w:rPr>
        <w:t xml:space="preserve"> </w:t>
      </w:r>
      <w:r w:rsidRPr="00C43BE8">
        <w:rPr>
          <w:sz w:val="28"/>
          <w:szCs w:val="28"/>
        </w:rPr>
        <w:t>Pēc statistikas datiem var secināt, ka 201</w:t>
      </w:r>
      <w:r>
        <w:rPr>
          <w:sz w:val="28"/>
          <w:szCs w:val="28"/>
        </w:rPr>
        <w:t>4</w:t>
      </w:r>
      <w:r w:rsidRPr="00C43BE8">
        <w:rPr>
          <w:sz w:val="28"/>
          <w:szCs w:val="28"/>
        </w:rPr>
        <w:t>.gada 4.ceturksnī salīdzinājumā ar 201</w:t>
      </w:r>
      <w:r>
        <w:rPr>
          <w:sz w:val="28"/>
          <w:szCs w:val="28"/>
        </w:rPr>
        <w:t>3</w:t>
      </w:r>
      <w:r w:rsidRPr="00C43BE8">
        <w:rPr>
          <w:sz w:val="28"/>
          <w:szCs w:val="28"/>
        </w:rPr>
        <w:t>.gada 4.ceturksni Latvijā vidējā bruto alga pieauga par 4,8% (no 7</w:t>
      </w:r>
      <w:r>
        <w:rPr>
          <w:sz w:val="28"/>
          <w:szCs w:val="28"/>
        </w:rPr>
        <w:t>37</w:t>
      </w:r>
      <w:r w:rsidRPr="00C43BE8">
        <w:rPr>
          <w:sz w:val="28"/>
          <w:szCs w:val="28"/>
        </w:rPr>
        <w:t xml:space="preserve"> līdz 7</w:t>
      </w:r>
      <w:r>
        <w:rPr>
          <w:sz w:val="28"/>
          <w:szCs w:val="28"/>
        </w:rPr>
        <w:t>86</w:t>
      </w:r>
      <w:r w:rsidRPr="00C43BE8">
        <w:rPr>
          <w:sz w:val="28"/>
          <w:szCs w:val="28"/>
        </w:rPr>
        <w:t xml:space="preserve"> </w:t>
      </w:r>
      <w:proofErr w:type="spellStart"/>
      <w:r w:rsidRPr="00DE1F01">
        <w:rPr>
          <w:i/>
          <w:sz w:val="28"/>
          <w:szCs w:val="28"/>
        </w:rPr>
        <w:t>euro</w:t>
      </w:r>
      <w:proofErr w:type="spellEnd"/>
      <w:r>
        <w:rPr>
          <w:sz w:val="28"/>
          <w:szCs w:val="28"/>
        </w:rPr>
        <w:t>)</w:t>
      </w:r>
      <w:r w:rsidRPr="00C43BE8">
        <w:rPr>
          <w:sz w:val="28"/>
          <w:szCs w:val="28"/>
        </w:rPr>
        <w:t xml:space="preserve">, Lietuvā – </w:t>
      </w:r>
      <w:r>
        <w:rPr>
          <w:sz w:val="28"/>
          <w:szCs w:val="28"/>
        </w:rPr>
        <w:t xml:space="preserve">par 5,2% </w:t>
      </w:r>
      <w:r w:rsidRPr="00DE1F01">
        <w:rPr>
          <w:sz w:val="28"/>
          <w:szCs w:val="28"/>
        </w:rPr>
        <w:t xml:space="preserve">(no 678 līdz 715 </w:t>
      </w:r>
      <w:proofErr w:type="spellStart"/>
      <w:r w:rsidRPr="00DE1F01">
        <w:rPr>
          <w:i/>
          <w:sz w:val="28"/>
          <w:szCs w:val="28"/>
        </w:rPr>
        <w:t>euro</w:t>
      </w:r>
      <w:proofErr w:type="spellEnd"/>
      <w:r w:rsidRPr="00DE1F01">
        <w:rPr>
          <w:sz w:val="28"/>
          <w:szCs w:val="28"/>
        </w:rPr>
        <w:t xml:space="preserve">). </w:t>
      </w:r>
      <w:r w:rsidRPr="00C43BE8">
        <w:rPr>
          <w:sz w:val="28"/>
          <w:szCs w:val="28"/>
        </w:rPr>
        <w:t xml:space="preserve">Savukārt Igaunijā šai periodā algas augušas straujāk – par </w:t>
      </w:r>
      <w:r>
        <w:rPr>
          <w:sz w:val="28"/>
          <w:szCs w:val="28"/>
        </w:rPr>
        <w:t>5</w:t>
      </w:r>
      <w:r w:rsidRPr="00C43BE8">
        <w:rPr>
          <w:sz w:val="28"/>
          <w:szCs w:val="28"/>
        </w:rPr>
        <w:t>,</w:t>
      </w:r>
      <w:r>
        <w:rPr>
          <w:sz w:val="28"/>
          <w:szCs w:val="28"/>
        </w:rPr>
        <w:t>3</w:t>
      </w:r>
      <w:r w:rsidRPr="00C43BE8">
        <w:rPr>
          <w:sz w:val="28"/>
          <w:szCs w:val="28"/>
        </w:rPr>
        <w:t xml:space="preserve">% (no </w:t>
      </w:r>
      <w:r>
        <w:rPr>
          <w:sz w:val="28"/>
          <w:szCs w:val="28"/>
        </w:rPr>
        <w:t>986</w:t>
      </w:r>
      <w:r w:rsidRPr="00C43BE8">
        <w:rPr>
          <w:sz w:val="28"/>
          <w:szCs w:val="28"/>
        </w:rPr>
        <w:t xml:space="preserve"> līdz </w:t>
      </w:r>
      <w:r>
        <w:rPr>
          <w:sz w:val="28"/>
          <w:szCs w:val="28"/>
        </w:rPr>
        <w:t>1039</w:t>
      </w:r>
      <w:r w:rsidRPr="00C43BE8">
        <w:rPr>
          <w:sz w:val="28"/>
          <w:szCs w:val="28"/>
        </w:rPr>
        <w:t xml:space="preserve"> </w:t>
      </w:r>
      <w:proofErr w:type="spellStart"/>
      <w:r w:rsidRPr="00DE1F01">
        <w:rPr>
          <w:i/>
          <w:sz w:val="28"/>
          <w:szCs w:val="28"/>
        </w:rPr>
        <w:t>euro</w:t>
      </w:r>
      <w:proofErr w:type="spellEnd"/>
      <w:r w:rsidRPr="00C43BE8">
        <w:rPr>
          <w:sz w:val="28"/>
          <w:szCs w:val="28"/>
        </w:rPr>
        <w:t>).</w:t>
      </w:r>
    </w:p>
    <w:p w:rsidR="00993F56" w:rsidRPr="00993F56" w:rsidRDefault="003C7503" w:rsidP="00993F56">
      <w:pPr>
        <w:ind w:firstLine="720"/>
        <w:jc w:val="both"/>
        <w:rPr>
          <w:sz w:val="28"/>
          <w:szCs w:val="28"/>
        </w:rPr>
      </w:pPr>
      <w:r w:rsidRPr="00993F56">
        <w:rPr>
          <w:sz w:val="28"/>
          <w:szCs w:val="28"/>
        </w:rPr>
        <w:t xml:space="preserve">Turpretī, valstī nav pieejama statistika par darba ņēmēju skaitu, kas saņem darba samaksu minimālās mēneša darba algas apmērā. Līdz 2009.gadam CSP sniedza Labklājības ministrijai datus par darbinieku skaita sadalījumu pēc </w:t>
      </w:r>
      <w:r w:rsidRPr="00993F56">
        <w:rPr>
          <w:i/>
          <w:sz w:val="28"/>
          <w:szCs w:val="28"/>
        </w:rPr>
        <w:t>mēneša bruto darba samaksas apmēra</w:t>
      </w:r>
      <w:r w:rsidRPr="00993F56">
        <w:rPr>
          <w:sz w:val="28"/>
          <w:szCs w:val="28"/>
        </w:rPr>
        <w:t xml:space="preserve">, </w:t>
      </w:r>
      <w:r w:rsidR="00993F56" w:rsidRPr="00993F56">
        <w:rPr>
          <w:sz w:val="28"/>
          <w:szCs w:val="28"/>
        </w:rPr>
        <w:t xml:space="preserve">to salīdzinot ar minimālo mēneša darba algu. </w:t>
      </w:r>
      <w:r w:rsidR="00993F56" w:rsidRPr="00993F56">
        <w:rPr>
          <w:bCs/>
          <w:sz w:val="28"/>
          <w:szCs w:val="28"/>
        </w:rPr>
        <w:t xml:space="preserve">Saskaņā ar </w:t>
      </w:r>
      <w:r w:rsidR="00993F56" w:rsidRPr="00993F56">
        <w:rPr>
          <w:sz w:val="28"/>
          <w:szCs w:val="28"/>
        </w:rPr>
        <w:t>Ministru kabineta 2009.gada 15.decembra noteikumiem Nr.1428 „</w:t>
      </w:r>
      <w:r w:rsidR="00993F56" w:rsidRPr="00993F56">
        <w:rPr>
          <w:bCs/>
          <w:sz w:val="28"/>
          <w:szCs w:val="28"/>
        </w:rPr>
        <w:t xml:space="preserve">Noteikumi par Valsts statistiskās informācijas programmu 2010.gadam” </w:t>
      </w:r>
      <w:r w:rsidR="00993F56" w:rsidRPr="00993F56">
        <w:rPr>
          <w:bCs/>
          <w:sz w:val="28"/>
          <w:szCs w:val="28"/>
          <w:u w:val="single"/>
        </w:rPr>
        <w:t>CSP vairs minētos datus nevāc un neapkopo.</w:t>
      </w:r>
      <w:r w:rsidR="00993F56" w:rsidRPr="00993F56">
        <w:rPr>
          <w:bCs/>
          <w:sz w:val="28"/>
          <w:szCs w:val="28"/>
        </w:rPr>
        <w:t xml:space="preserve"> Tā vietā CSP var sniegt līdzvērtīgus datus par darba ņēmēju skaita sadalījumu pēc </w:t>
      </w:r>
      <w:r w:rsidR="00993F56" w:rsidRPr="00993F56">
        <w:rPr>
          <w:b/>
          <w:bCs/>
          <w:i/>
          <w:sz w:val="28"/>
          <w:szCs w:val="28"/>
        </w:rPr>
        <w:t>mēneša bruto darba ienākumiem</w:t>
      </w:r>
      <w:r w:rsidR="00993F56" w:rsidRPr="00993F56">
        <w:rPr>
          <w:bCs/>
          <w:i/>
          <w:sz w:val="28"/>
          <w:szCs w:val="28"/>
        </w:rPr>
        <w:t xml:space="preserve"> </w:t>
      </w:r>
      <w:r w:rsidR="00993F56" w:rsidRPr="00993F56">
        <w:rPr>
          <w:sz w:val="28"/>
          <w:szCs w:val="28"/>
        </w:rPr>
        <w:t>(</w:t>
      </w:r>
      <w:r w:rsidR="00993F56" w:rsidRPr="00993F56">
        <w:rPr>
          <w:i/>
          <w:sz w:val="28"/>
          <w:szCs w:val="28"/>
        </w:rPr>
        <w:t xml:space="preserve">darba ienākumu sastāvā ir iekļauta </w:t>
      </w:r>
      <w:r w:rsidR="00993F56" w:rsidRPr="00993F56">
        <w:rPr>
          <w:bCs/>
          <w:i/>
          <w:sz w:val="28"/>
          <w:szCs w:val="28"/>
        </w:rPr>
        <w:t>darba alga, vienreizēja un sistemātiska atlīdzība, atlīdzība par valsts dienesta izpildi, regulārās un neregulārās prēmijas un piemaksas, atvaļinājuma, atlaišanas un citi pabalsti, kompensācija par neizmantoto atvaļinājumu atlaišanas gadījumā, slimības nauda (par darbnespējas lapu A), dāvanas un balvas, kuru kopējā vērtība taksācijas gadā pārsniedz minimālās mēnešalgas apmēru, darba devēja stipendijas, darba devēja samaksātās mācības, kas nav nepieciešamas amata pienākumu pildīšanai, darba devēja dotie labumi darbiniekam – izklaides</w:t>
      </w:r>
      <w:r w:rsidR="00993F56" w:rsidRPr="00993F56">
        <w:rPr>
          <w:bCs/>
          <w:sz w:val="28"/>
          <w:szCs w:val="28"/>
        </w:rPr>
        <w:t xml:space="preserve"> </w:t>
      </w:r>
      <w:r w:rsidR="00993F56" w:rsidRPr="00993F56">
        <w:rPr>
          <w:bCs/>
          <w:i/>
          <w:sz w:val="28"/>
          <w:szCs w:val="28"/>
        </w:rPr>
        <w:t xml:space="preserve">pasākumi, atpūtas ceļojumi un veselības uzlabošanas pasākumi, ja tos ir iespējams personificēt, citi darbinieka labā izdarītie </w:t>
      </w:r>
      <w:r w:rsidR="00993F56" w:rsidRPr="00993F56">
        <w:rPr>
          <w:i/>
          <w:sz w:val="28"/>
          <w:szCs w:val="28"/>
        </w:rPr>
        <w:t xml:space="preserve">darba devēja maksājumi vai labumi, </w:t>
      </w:r>
      <w:r w:rsidR="00993F56" w:rsidRPr="00993F56">
        <w:rPr>
          <w:bCs/>
          <w:i/>
          <w:sz w:val="28"/>
          <w:szCs w:val="28"/>
        </w:rPr>
        <w:t>ja šie izdevumi nav tieši saistīti ar darba devēja saimniecisko darbību vai nav apliecināti ar attaisnojuma dokumentiem</w:t>
      </w:r>
      <w:r w:rsidR="00993F56" w:rsidRPr="00993F56">
        <w:rPr>
          <w:bCs/>
          <w:sz w:val="28"/>
          <w:szCs w:val="28"/>
        </w:rPr>
        <w:t>),</w:t>
      </w:r>
      <w:r w:rsidR="00993F56" w:rsidRPr="00993F56">
        <w:rPr>
          <w:sz w:val="28"/>
          <w:szCs w:val="28"/>
        </w:rPr>
        <w:t xml:space="preserve"> to salīdzinot ar minimālo mēneša darba algu. Dati par darba ņēmēju skaita sadalījumu pēc darba ienākumiem iegūti, apkopojot Valsts ieņēmumu dienestā iesniegtos darba devēju ziņojumus par valsts sociālās apdrošināšanas obligātajām iemaksām no darba ņēmēju darba ienākumiem, iedzīvotāju ienākuma nodokli un uzņēmējdarbības riska valsts nodevu pārskata mēnesī „Ziņojums par valsts sociālās apdrošināšanas obligātajām iemaksām no darba ņēmēju darba ienākumiem, iedzīvotāju ienākuma nodokli un uzņēmējdarbības riska valsts nodevu pārskata mēnesī”. Pēc darba devēju ikmēneša ziņojumiem par katru darba ņēmēju nevar noteikt, vai viņš strādā normālo vai nepilnu darba laiku, darba ņēmēju skaitā iekļauti visi darba ņēmēji, kuriem pārskata periodā aprēķināti darba ienākumi. </w:t>
      </w:r>
      <w:r w:rsidR="00993F56" w:rsidRPr="00993F56">
        <w:rPr>
          <w:sz w:val="28"/>
          <w:szCs w:val="28"/>
        </w:rPr>
        <w:lastRenderedPageBreak/>
        <w:t>Turklāt, viena persona iekļauta tikai vienu reizi, summējot ienākumus pie visiem darba devējiem.</w:t>
      </w:r>
    </w:p>
    <w:p w:rsidR="00993F56" w:rsidRDefault="00993F56" w:rsidP="00993F56">
      <w:pPr>
        <w:ind w:firstLine="720"/>
        <w:jc w:val="both"/>
        <w:rPr>
          <w:iCs/>
          <w:sz w:val="28"/>
          <w:szCs w:val="28"/>
        </w:rPr>
      </w:pPr>
      <w:r w:rsidRPr="00993F56">
        <w:rPr>
          <w:sz w:val="28"/>
          <w:szCs w:val="28"/>
        </w:rPr>
        <w:t>Tāpat s</w:t>
      </w:r>
      <w:r w:rsidRPr="00993F56">
        <w:rPr>
          <w:iCs/>
          <w:sz w:val="28"/>
          <w:szCs w:val="28"/>
        </w:rPr>
        <w:t>askaņā ar CSP pielietoto metodoloģiju nav aprēķināms darba devēju skaits, kas nodarbina darbiniekus un nosaka tiem darba algu minimālās mēneša darba algas apmērā vai stundas darba laika apmaksu minimālās stundas tarifa likmes apmērā.</w:t>
      </w:r>
    </w:p>
    <w:p w:rsidR="00993F56" w:rsidRPr="00925BEB" w:rsidRDefault="00993F56" w:rsidP="00993F56">
      <w:pPr>
        <w:ind w:right="-109" w:firstLine="720"/>
        <w:jc w:val="both"/>
        <w:rPr>
          <w:sz w:val="28"/>
          <w:szCs w:val="28"/>
        </w:rPr>
      </w:pPr>
      <w:r>
        <w:rPr>
          <w:sz w:val="28"/>
          <w:szCs w:val="28"/>
        </w:rPr>
        <w:t>P</w:t>
      </w:r>
      <w:r w:rsidRPr="00925BEB">
        <w:rPr>
          <w:sz w:val="28"/>
          <w:szCs w:val="28"/>
        </w:rPr>
        <w:t>ēdējie pieejamie CSP „Darba ņēmēju skaita sadalījums pēc darba ienākumiem pa mēnešiem” apkopojuma dati ir par 201</w:t>
      </w:r>
      <w:r>
        <w:rPr>
          <w:sz w:val="28"/>
          <w:szCs w:val="28"/>
        </w:rPr>
        <w:t>4</w:t>
      </w:r>
      <w:r w:rsidRPr="00925BEB">
        <w:rPr>
          <w:sz w:val="28"/>
          <w:szCs w:val="28"/>
        </w:rPr>
        <w:t xml:space="preserve">.gada </w:t>
      </w:r>
      <w:r>
        <w:rPr>
          <w:sz w:val="28"/>
          <w:szCs w:val="28"/>
        </w:rPr>
        <w:t>decembr</w:t>
      </w:r>
      <w:r w:rsidRPr="00925BEB">
        <w:rPr>
          <w:sz w:val="28"/>
          <w:szCs w:val="28"/>
        </w:rPr>
        <w:t xml:space="preserve">i, kad darba ņēmēju skaits, kuriem darba ienākumi ir līdz un minimālās </w:t>
      </w:r>
      <w:r>
        <w:rPr>
          <w:sz w:val="28"/>
          <w:szCs w:val="28"/>
        </w:rPr>
        <w:t xml:space="preserve">mēneša darba </w:t>
      </w:r>
      <w:r w:rsidRPr="00925BEB">
        <w:rPr>
          <w:sz w:val="28"/>
          <w:szCs w:val="28"/>
        </w:rPr>
        <w:t>algas apmērā (</w:t>
      </w:r>
      <w:r>
        <w:rPr>
          <w:sz w:val="28"/>
          <w:szCs w:val="28"/>
        </w:rPr>
        <w:t>320 </w:t>
      </w:r>
      <w:proofErr w:type="spellStart"/>
      <w:r w:rsidRPr="00DE1F01">
        <w:rPr>
          <w:i/>
          <w:sz w:val="28"/>
          <w:szCs w:val="28"/>
        </w:rPr>
        <w:t>euro</w:t>
      </w:r>
      <w:proofErr w:type="spellEnd"/>
      <w:r w:rsidRPr="00925BEB">
        <w:rPr>
          <w:sz w:val="28"/>
          <w:szCs w:val="28"/>
        </w:rPr>
        <w:t xml:space="preserve">), bija </w:t>
      </w:r>
      <w:r w:rsidRPr="00925BEB">
        <w:rPr>
          <w:b/>
          <w:sz w:val="28"/>
          <w:szCs w:val="28"/>
        </w:rPr>
        <w:t>17</w:t>
      </w:r>
      <w:r>
        <w:rPr>
          <w:b/>
          <w:sz w:val="28"/>
          <w:szCs w:val="28"/>
        </w:rPr>
        <w:t>6</w:t>
      </w:r>
      <w:r w:rsidRPr="00925BEB">
        <w:rPr>
          <w:b/>
          <w:sz w:val="28"/>
          <w:szCs w:val="28"/>
        </w:rPr>
        <w:t>,</w:t>
      </w:r>
      <w:r>
        <w:rPr>
          <w:b/>
          <w:sz w:val="28"/>
          <w:szCs w:val="28"/>
        </w:rPr>
        <w:t>3</w:t>
      </w:r>
      <w:r w:rsidRPr="00925BEB">
        <w:rPr>
          <w:b/>
          <w:sz w:val="28"/>
          <w:szCs w:val="28"/>
        </w:rPr>
        <w:t> tūkst. cilvēku</w:t>
      </w:r>
      <w:r>
        <w:rPr>
          <w:sz w:val="28"/>
          <w:szCs w:val="28"/>
        </w:rPr>
        <w:t xml:space="preserve"> </w:t>
      </w:r>
      <w:r w:rsidRPr="00925BEB">
        <w:rPr>
          <w:bCs/>
          <w:sz w:val="28"/>
          <w:szCs w:val="28"/>
        </w:rPr>
        <w:t xml:space="preserve">no darba ņēmēju kopskaita </w:t>
      </w:r>
      <w:r w:rsidRPr="00925BEB">
        <w:rPr>
          <w:sz w:val="28"/>
          <w:szCs w:val="28"/>
        </w:rPr>
        <w:t xml:space="preserve">jeb </w:t>
      </w:r>
      <w:r w:rsidRPr="00925BEB">
        <w:rPr>
          <w:b/>
          <w:sz w:val="28"/>
          <w:szCs w:val="28"/>
        </w:rPr>
        <w:t>2</w:t>
      </w:r>
      <w:r>
        <w:rPr>
          <w:b/>
          <w:sz w:val="28"/>
          <w:szCs w:val="28"/>
        </w:rPr>
        <w:t>0</w:t>
      </w:r>
      <w:r w:rsidRPr="00925BEB">
        <w:rPr>
          <w:b/>
          <w:sz w:val="28"/>
          <w:szCs w:val="28"/>
        </w:rPr>
        <w:t>,</w:t>
      </w:r>
      <w:r>
        <w:rPr>
          <w:b/>
          <w:sz w:val="28"/>
          <w:szCs w:val="28"/>
        </w:rPr>
        <w:t>6</w:t>
      </w:r>
      <w:r w:rsidRPr="00925BEB">
        <w:rPr>
          <w:b/>
          <w:sz w:val="28"/>
          <w:szCs w:val="28"/>
        </w:rPr>
        <w:t>%</w:t>
      </w:r>
      <w:r w:rsidRPr="00925BEB">
        <w:rPr>
          <w:sz w:val="28"/>
          <w:szCs w:val="28"/>
        </w:rPr>
        <w:t xml:space="preserve"> (salīdzinājumā ar 201</w:t>
      </w:r>
      <w:r>
        <w:rPr>
          <w:sz w:val="28"/>
          <w:szCs w:val="28"/>
        </w:rPr>
        <w:t>3</w:t>
      </w:r>
      <w:r w:rsidRPr="00925BEB">
        <w:rPr>
          <w:sz w:val="28"/>
          <w:szCs w:val="28"/>
        </w:rPr>
        <w:t xml:space="preserve">.gada </w:t>
      </w:r>
      <w:r>
        <w:rPr>
          <w:sz w:val="28"/>
          <w:szCs w:val="28"/>
        </w:rPr>
        <w:t>decembri</w:t>
      </w:r>
      <w:r w:rsidRPr="00925BEB">
        <w:rPr>
          <w:sz w:val="28"/>
          <w:szCs w:val="28"/>
        </w:rPr>
        <w:t xml:space="preserve">, samazinājās par </w:t>
      </w:r>
      <w:r>
        <w:rPr>
          <w:sz w:val="28"/>
          <w:szCs w:val="28"/>
        </w:rPr>
        <w:t>0,8</w:t>
      </w:r>
      <w:r w:rsidRPr="00925BEB">
        <w:rPr>
          <w:sz w:val="28"/>
          <w:szCs w:val="28"/>
        </w:rPr>
        <w:t xml:space="preserve">% – </w:t>
      </w:r>
      <w:r w:rsidRPr="00925BEB">
        <w:rPr>
          <w:b/>
          <w:sz w:val="28"/>
          <w:szCs w:val="28"/>
        </w:rPr>
        <w:t>1</w:t>
      </w:r>
      <w:r>
        <w:rPr>
          <w:b/>
          <w:sz w:val="28"/>
          <w:szCs w:val="28"/>
        </w:rPr>
        <w:t>77</w:t>
      </w:r>
      <w:r w:rsidRPr="00925BEB">
        <w:rPr>
          <w:b/>
          <w:sz w:val="28"/>
          <w:szCs w:val="28"/>
        </w:rPr>
        <w:t>,</w:t>
      </w:r>
      <w:r>
        <w:rPr>
          <w:b/>
          <w:sz w:val="28"/>
          <w:szCs w:val="28"/>
        </w:rPr>
        <w:t>6 </w:t>
      </w:r>
      <w:r w:rsidRPr="00925BEB">
        <w:rPr>
          <w:b/>
          <w:sz w:val="28"/>
          <w:szCs w:val="28"/>
        </w:rPr>
        <w:t>tūkst. cilvēku</w:t>
      </w:r>
      <w:r w:rsidRPr="00925BEB">
        <w:rPr>
          <w:bCs/>
          <w:sz w:val="28"/>
          <w:szCs w:val="28"/>
        </w:rPr>
        <w:t xml:space="preserve"> no darba ņēmēju kopskaita </w:t>
      </w:r>
      <w:r w:rsidRPr="00925BEB">
        <w:rPr>
          <w:sz w:val="28"/>
          <w:szCs w:val="28"/>
        </w:rPr>
        <w:t xml:space="preserve">jeb </w:t>
      </w:r>
      <w:r w:rsidRPr="00925BEB">
        <w:rPr>
          <w:b/>
          <w:sz w:val="28"/>
          <w:szCs w:val="28"/>
        </w:rPr>
        <w:t>2</w:t>
      </w:r>
      <w:r>
        <w:rPr>
          <w:b/>
          <w:sz w:val="28"/>
          <w:szCs w:val="28"/>
        </w:rPr>
        <w:t>1</w:t>
      </w:r>
      <w:r w:rsidRPr="00925BEB">
        <w:rPr>
          <w:b/>
          <w:sz w:val="28"/>
          <w:szCs w:val="28"/>
        </w:rPr>
        <w:t>,</w:t>
      </w:r>
      <w:r>
        <w:rPr>
          <w:b/>
          <w:sz w:val="28"/>
          <w:szCs w:val="28"/>
        </w:rPr>
        <w:t>2</w:t>
      </w:r>
      <w:r w:rsidRPr="00925BEB">
        <w:rPr>
          <w:b/>
          <w:sz w:val="28"/>
          <w:szCs w:val="28"/>
        </w:rPr>
        <w:t>%)</w:t>
      </w:r>
      <w:r w:rsidRPr="00925BEB">
        <w:rPr>
          <w:sz w:val="28"/>
          <w:szCs w:val="28"/>
        </w:rPr>
        <w:t>, tai skaitā:</w:t>
      </w:r>
    </w:p>
    <w:p w:rsidR="00993F56" w:rsidRPr="00925BEB" w:rsidRDefault="00993F56" w:rsidP="00993F56">
      <w:pPr>
        <w:ind w:right="-109" w:firstLine="720"/>
        <w:jc w:val="both"/>
        <w:rPr>
          <w:b/>
          <w:sz w:val="28"/>
          <w:szCs w:val="28"/>
        </w:rPr>
      </w:pPr>
      <w:r w:rsidRPr="00925BEB">
        <w:rPr>
          <w:sz w:val="28"/>
          <w:szCs w:val="28"/>
        </w:rPr>
        <w:t>1)</w:t>
      </w:r>
      <w:r>
        <w:rPr>
          <w:sz w:val="28"/>
          <w:szCs w:val="28"/>
        </w:rPr>
        <w:t> </w:t>
      </w:r>
      <w:r w:rsidRPr="00925BEB">
        <w:rPr>
          <w:sz w:val="28"/>
          <w:szCs w:val="28"/>
        </w:rPr>
        <w:t xml:space="preserve">privātajā sektorā – </w:t>
      </w:r>
      <w:r w:rsidRPr="00925BEB">
        <w:rPr>
          <w:b/>
          <w:sz w:val="28"/>
          <w:szCs w:val="28"/>
        </w:rPr>
        <w:t>1</w:t>
      </w:r>
      <w:r>
        <w:rPr>
          <w:b/>
          <w:sz w:val="28"/>
          <w:szCs w:val="28"/>
        </w:rPr>
        <w:t>50</w:t>
      </w:r>
      <w:r w:rsidRPr="00925BEB">
        <w:rPr>
          <w:b/>
          <w:sz w:val="28"/>
          <w:szCs w:val="28"/>
        </w:rPr>
        <w:t>,</w:t>
      </w:r>
      <w:r>
        <w:rPr>
          <w:b/>
          <w:sz w:val="28"/>
          <w:szCs w:val="28"/>
        </w:rPr>
        <w:t>2 </w:t>
      </w:r>
      <w:r w:rsidRPr="00925BEB">
        <w:rPr>
          <w:b/>
          <w:sz w:val="28"/>
          <w:szCs w:val="28"/>
        </w:rPr>
        <w:t>tūkst. cilvēku</w:t>
      </w:r>
      <w:r w:rsidRPr="00925BEB">
        <w:rPr>
          <w:sz w:val="28"/>
          <w:szCs w:val="28"/>
        </w:rPr>
        <w:t xml:space="preserve"> no privātā sektorā nodarbinātajiem jeb </w:t>
      </w:r>
      <w:r w:rsidRPr="00925BEB">
        <w:rPr>
          <w:b/>
          <w:sz w:val="28"/>
          <w:szCs w:val="28"/>
        </w:rPr>
        <w:t>2</w:t>
      </w:r>
      <w:r>
        <w:rPr>
          <w:b/>
          <w:sz w:val="28"/>
          <w:szCs w:val="28"/>
        </w:rPr>
        <w:t>5</w:t>
      </w:r>
      <w:r w:rsidRPr="00925BEB">
        <w:rPr>
          <w:b/>
          <w:sz w:val="28"/>
          <w:szCs w:val="28"/>
        </w:rPr>
        <w:t>,</w:t>
      </w:r>
      <w:r>
        <w:rPr>
          <w:b/>
          <w:sz w:val="28"/>
          <w:szCs w:val="28"/>
        </w:rPr>
        <w:t>3</w:t>
      </w:r>
      <w:r w:rsidRPr="00925BEB">
        <w:rPr>
          <w:b/>
          <w:sz w:val="28"/>
          <w:szCs w:val="28"/>
        </w:rPr>
        <w:t>%</w:t>
      </w:r>
      <w:r w:rsidRPr="00925BEB">
        <w:rPr>
          <w:sz w:val="28"/>
          <w:szCs w:val="28"/>
        </w:rPr>
        <w:t xml:space="preserve"> (salīdzinājumā ar 201</w:t>
      </w:r>
      <w:r>
        <w:rPr>
          <w:sz w:val="28"/>
          <w:szCs w:val="28"/>
        </w:rPr>
        <w:t>3</w:t>
      </w:r>
      <w:r w:rsidRPr="00925BEB">
        <w:rPr>
          <w:sz w:val="28"/>
          <w:szCs w:val="28"/>
        </w:rPr>
        <w:t xml:space="preserve">.gada </w:t>
      </w:r>
      <w:r>
        <w:rPr>
          <w:sz w:val="28"/>
          <w:szCs w:val="28"/>
        </w:rPr>
        <w:t>decembri</w:t>
      </w:r>
      <w:r w:rsidRPr="00925BEB">
        <w:rPr>
          <w:sz w:val="28"/>
          <w:szCs w:val="28"/>
        </w:rPr>
        <w:t xml:space="preserve">, samazinājās par </w:t>
      </w:r>
      <w:r>
        <w:rPr>
          <w:sz w:val="28"/>
          <w:szCs w:val="28"/>
        </w:rPr>
        <w:t>3</w:t>
      </w:r>
      <w:r w:rsidRPr="00925BEB">
        <w:rPr>
          <w:sz w:val="28"/>
          <w:szCs w:val="28"/>
        </w:rPr>
        <w:t>,</w:t>
      </w:r>
      <w:r>
        <w:rPr>
          <w:sz w:val="28"/>
          <w:szCs w:val="28"/>
        </w:rPr>
        <w:t>1</w:t>
      </w:r>
      <w:r w:rsidRPr="00925BEB">
        <w:rPr>
          <w:sz w:val="28"/>
          <w:szCs w:val="28"/>
        </w:rPr>
        <w:t xml:space="preserve">% – </w:t>
      </w:r>
      <w:r w:rsidRPr="00925BEB">
        <w:rPr>
          <w:b/>
          <w:sz w:val="28"/>
          <w:szCs w:val="28"/>
        </w:rPr>
        <w:t>1</w:t>
      </w:r>
      <w:r>
        <w:rPr>
          <w:b/>
          <w:sz w:val="28"/>
          <w:szCs w:val="28"/>
        </w:rPr>
        <w:t>55</w:t>
      </w:r>
      <w:r w:rsidRPr="00925BEB">
        <w:rPr>
          <w:b/>
          <w:sz w:val="28"/>
          <w:szCs w:val="28"/>
        </w:rPr>
        <w:t>,</w:t>
      </w:r>
      <w:r>
        <w:rPr>
          <w:b/>
          <w:sz w:val="28"/>
          <w:szCs w:val="28"/>
        </w:rPr>
        <w:t>0 </w:t>
      </w:r>
      <w:r w:rsidRPr="00925BEB">
        <w:rPr>
          <w:b/>
          <w:sz w:val="28"/>
          <w:szCs w:val="28"/>
        </w:rPr>
        <w:t>tūkst. cilvēku</w:t>
      </w:r>
      <w:r w:rsidRPr="00925BEB">
        <w:rPr>
          <w:sz w:val="28"/>
          <w:szCs w:val="28"/>
        </w:rPr>
        <w:t xml:space="preserve"> no privātā sektorā nodarbinātajiem jeb </w:t>
      </w:r>
      <w:r>
        <w:rPr>
          <w:b/>
          <w:sz w:val="28"/>
          <w:szCs w:val="28"/>
        </w:rPr>
        <w:t>26</w:t>
      </w:r>
      <w:r w:rsidRPr="00925BEB">
        <w:rPr>
          <w:b/>
          <w:sz w:val="28"/>
          <w:szCs w:val="28"/>
        </w:rPr>
        <w:t>,</w:t>
      </w:r>
      <w:r>
        <w:rPr>
          <w:b/>
          <w:sz w:val="28"/>
          <w:szCs w:val="28"/>
        </w:rPr>
        <w:t>7</w:t>
      </w:r>
      <w:r w:rsidRPr="00925BEB">
        <w:rPr>
          <w:b/>
          <w:sz w:val="28"/>
          <w:szCs w:val="28"/>
        </w:rPr>
        <w:t>%);</w:t>
      </w:r>
    </w:p>
    <w:p w:rsidR="00993F56" w:rsidRPr="00665E86" w:rsidRDefault="00993F56" w:rsidP="00993F56">
      <w:pPr>
        <w:ind w:right="-109" w:firstLine="720"/>
        <w:jc w:val="both"/>
        <w:rPr>
          <w:sz w:val="28"/>
          <w:szCs w:val="28"/>
        </w:rPr>
      </w:pPr>
      <w:r w:rsidRPr="00925BEB">
        <w:rPr>
          <w:sz w:val="28"/>
          <w:szCs w:val="28"/>
        </w:rPr>
        <w:t>2)</w:t>
      </w:r>
      <w:r>
        <w:rPr>
          <w:sz w:val="28"/>
          <w:szCs w:val="28"/>
        </w:rPr>
        <w:t> </w:t>
      </w:r>
      <w:r w:rsidRPr="00925BEB">
        <w:rPr>
          <w:sz w:val="28"/>
          <w:szCs w:val="28"/>
        </w:rPr>
        <w:t xml:space="preserve">sabiedriskajā sektorā – </w:t>
      </w:r>
      <w:r w:rsidRPr="00925BEB">
        <w:rPr>
          <w:b/>
          <w:sz w:val="28"/>
          <w:szCs w:val="28"/>
        </w:rPr>
        <w:t>2</w:t>
      </w:r>
      <w:r>
        <w:rPr>
          <w:b/>
          <w:sz w:val="28"/>
          <w:szCs w:val="28"/>
        </w:rPr>
        <w:t>3</w:t>
      </w:r>
      <w:r w:rsidRPr="00925BEB">
        <w:rPr>
          <w:b/>
          <w:sz w:val="28"/>
          <w:szCs w:val="28"/>
        </w:rPr>
        <w:t>,</w:t>
      </w:r>
      <w:r>
        <w:rPr>
          <w:b/>
          <w:sz w:val="28"/>
          <w:szCs w:val="28"/>
        </w:rPr>
        <w:t>7 </w:t>
      </w:r>
      <w:r w:rsidRPr="00925BEB">
        <w:rPr>
          <w:b/>
          <w:sz w:val="28"/>
          <w:szCs w:val="28"/>
        </w:rPr>
        <w:t>tūkst. cilvēku</w:t>
      </w:r>
      <w:r w:rsidRPr="00925BEB">
        <w:rPr>
          <w:sz w:val="28"/>
          <w:szCs w:val="28"/>
        </w:rPr>
        <w:t xml:space="preserve"> no sabiedriskā sektorā nodarbinātajiem jeb </w:t>
      </w:r>
      <w:r>
        <w:rPr>
          <w:b/>
          <w:sz w:val="28"/>
          <w:szCs w:val="28"/>
        </w:rPr>
        <w:t>9</w:t>
      </w:r>
      <w:r w:rsidRPr="00925BEB">
        <w:rPr>
          <w:b/>
          <w:sz w:val="28"/>
          <w:szCs w:val="28"/>
        </w:rPr>
        <w:t>,</w:t>
      </w:r>
      <w:r>
        <w:rPr>
          <w:b/>
          <w:sz w:val="28"/>
          <w:szCs w:val="28"/>
        </w:rPr>
        <w:t>3</w:t>
      </w:r>
      <w:r w:rsidRPr="00925BEB">
        <w:rPr>
          <w:b/>
          <w:sz w:val="28"/>
          <w:szCs w:val="28"/>
        </w:rPr>
        <w:t>%</w:t>
      </w:r>
      <w:r w:rsidRPr="00925BEB">
        <w:rPr>
          <w:sz w:val="28"/>
          <w:szCs w:val="28"/>
        </w:rPr>
        <w:t xml:space="preserve"> (salīdzinājumā ar 201</w:t>
      </w:r>
      <w:r>
        <w:rPr>
          <w:sz w:val="28"/>
          <w:szCs w:val="28"/>
        </w:rPr>
        <w:t>3</w:t>
      </w:r>
      <w:r w:rsidRPr="00925BEB">
        <w:rPr>
          <w:sz w:val="28"/>
          <w:szCs w:val="28"/>
        </w:rPr>
        <w:t xml:space="preserve">.gada </w:t>
      </w:r>
      <w:r>
        <w:rPr>
          <w:sz w:val="28"/>
          <w:szCs w:val="28"/>
        </w:rPr>
        <w:t>decembri</w:t>
      </w:r>
      <w:r w:rsidRPr="00925BEB">
        <w:rPr>
          <w:sz w:val="28"/>
          <w:szCs w:val="28"/>
        </w:rPr>
        <w:t xml:space="preserve">, </w:t>
      </w:r>
      <w:r>
        <w:rPr>
          <w:sz w:val="28"/>
          <w:szCs w:val="28"/>
        </w:rPr>
        <w:t>palielinājās</w:t>
      </w:r>
      <w:r w:rsidRPr="00925BEB">
        <w:rPr>
          <w:sz w:val="28"/>
          <w:szCs w:val="28"/>
        </w:rPr>
        <w:t xml:space="preserve"> par </w:t>
      </w:r>
      <w:r>
        <w:rPr>
          <w:sz w:val="28"/>
          <w:szCs w:val="28"/>
        </w:rPr>
        <w:t>15,8</w:t>
      </w:r>
      <w:r w:rsidRPr="00925BEB">
        <w:rPr>
          <w:sz w:val="28"/>
          <w:szCs w:val="28"/>
        </w:rPr>
        <w:t xml:space="preserve">% – </w:t>
      </w:r>
      <w:r w:rsidRPr="00925BEB">
        <w:rPr>
          <w:b/>
          <w:sz w:val="28"/>
          <w:szCs w:val="28"/>
        </w:rPr>
        <w:t>2</w:t>
      </w:r>
      <w:r>
        <w:rPr>
          <w:b/>
          <w:sz w:val="28"/>
          <w:szCs w:val="28"/>
        </w:rPr>
        <w:t>0</w:t>
      </w:r>
      <w:r w:rsidRPr="00925BEB">
        <w:rPr>
          <w:b/>
          <w:sz w:val="28"/>
          <w:szCs w:val="28"/>
        </w:rPr>
        <w:t>,</w:t>
      </w:r>
      <w:r>
        <w:rPr>
          <w:b/>
          <w:sz w:val="28"/>
          <w:szCs w:val="28"/>
        </w:rPr>
        <w:t>5 </w:t>
      </w:r>
      <w:r w:rsidRPr="00925BEB">
        <w:rPr>
          <w:b/>
          <w:sz w:val="28"/>
          <w:szCs w:val="28"/>
        </w:rPr>
        <w:t>tūkst. cilvēku</w:t>
      </w:r>
      <w:r w:rsidRPr="00925BEB">
        <w:rPr>
          <w:sz w:val="28"/>
          <w:szCs w:val="28"/>
        </w:rPr>
        <w:t xml:space="preserve"> no sabiedriskā sektorā nodarbinātajiem jeb </w:t>
      </w:r>
      <w:r>
        <w:rPr>
          <w:b/>
          <w:sz w:val="28"/>
          <w:szCs w:val="28"/>
        </w:rPr>
        <w:t>8</w:t>
      </w:r>
      <w:r w:rsidRPr="00925BEB">
        <w:rPr>
          <w:b/>
          <w:sz w:val="28"/>
          <w:szCs w:val="28"/>
        </w:rPr>
        <w:t>,</w:t>
      </w:r>
      <w:r>
        <w:rPr>
          <w:b/>
          <w:sz w:val="28"/>
          <w:szCs w:val="28"/>
        </w:rPr>
        <w:t>1</w:t>
      </w:r>
      <w:r w:rsidRPr="00925BEB">
        <w:rPr>
          <w:b/>
          <w:sz w:val="28"/>
          <w:szCs w:val="28"/>
        </w:rPr>
        <w:t xml:space="preserve">%), </w:t>
      </w:r>
      <w:r w:rsidRPr="00665E86">
        <w:rPr>
          <w:sz w:val="28"/>
          <w:szCs w:val="28"/>
        </w:rPr>
        <w:t>CSP sabiedriskajā sektorā neiekļauj sabiedriskās organizācijas – nodibinājumus, biedrības, fondus, politiskās un reliģiskās organizācijas.</w:t>
      </w:r>
    </w:p>
    <w:p w:rsidR="00171B82" w:rsidRDefault="00195688" w:rsidP="004F18B1">
      <w:pPr>
        <w:pStyle w:val="NormalWeb"/>
        <w:spacing w:before="0" w:beforeAutospacing="0" w:after="0" w:afterAutospacing="0"/>
        <w:ind w:firstLine="709"/>
        <w:jc w:val="both"/>
        <w:rPr>
          <w:sz w:val="28"/>
          <w:szCs w:val="28"/>
        </w:rPr>
      </w:pPr>
      <w:r w:rsidRPr="00C43BE8">
        <w:rPr>
          <w:sz w:val="28"/>
          <w:szCs w:val="28"/>
        </w:rPr>
        <w:t>Tā kā minimālā</w:t>
      </w:r>
      <w:r w:rsidR="00277D67" w:rsidRPr="00C43BE8">
        <w:rPr>
          <w:sz w:val="28"/>
          <w:szCs w:val="28"/>
        </w:rPr>
        <w:t>s</w:t>
      </w:r>
      <w:r w:rsidRPr="00C43BE8">
        <w:rPr>
          <w:sz w:val="28"/>
          <w:szCs w:val="28"/>
        </w:rPr>
        <w:t xml:space="preserve"> mēneša darba alga</w:t>
      </w:r>
      <w:r w:rsidR="00277D67" w:rsidRPr="00C43BE8">
        <w:rPr>
          <w:sz w:val="28"/>
          <w:szCs w:val="28"/>
        </w:rPr>
        <w:t>s apmērs</w:t>
      </w:r>
      <w:r w:rsidRPr="00C43BE8">
        <w:rPr>
          <w:sz w:val="28"/>
          <w:szCs w:val="28"/>
        </w:rPr>
        <w:t xml:space="preserve"> ir vienād</w:t>
      </w:r>
      <w:r w:rsidR="00277D67" w:rsidRPr="00C43BE8">
        <w:rPr>
          <w:sz w:val="28"/>
          <w:szCs w:val="28"/>
        </w:rPr>
        <w:t>s</w:t>
      </w:r>
      <w:r w:rsidRPr="00C43BE8">
        <w:rPr>
          <w:sz w:val="28"/>
          <w:szCs w:val="28"/>
        </w:rPr>
        <w:t xml:space="preserve"> </w:t>
      </w:r>
      <w:r w:rsidR="00815C23" w:rsidRPr="00C43BE8">
        <w:rPr>
          <w:sz w:val="28"/>
          <w:szCs w:val="28"/>
        </w:rPr>
        <w:t>sievietēm un vīriešiem (nodrošina vienlīdzīgas tiesības un iespējas)</w:t>
      </w:r>
      <w:r w:rsidRPr="00C43BE8">
        <w:rPr>
          <w:sz w:val="28"/>
          <w:szCs w:val="28"/>
        </w:rPr>
        <w:t xml:space="preserve">, tad </w:t>
      </w:r>
      <w:r w:rsidR="00277D67" w:rsidRPr="00C43BE8">
        <w:rPr>
          <w:sz w:val="28"/>
          <w:szCs w:val="28"/>
        </w:rPr>
        <w:t>minimālās mēneša darba algas</w:t>
      </w:r>
      <w:r w:rsidRPr="00C43BE8">
        <w:rPr>
          <w:sz w:val="28"/>
          <w:szCs w:val="28"/>
        </w:rPr>
        <w:t xml:space="preserve"> paaugstināšana </w:t>
      </w:r>
      <w:r w:rsidR="00D04DA0" w:rsidRPr="00C43BE8">
        <w:rPr>
          <w:sz w:val="28"/>
          <w:szCs w:val="28"/>
        </w:rPr>
        <w:t xml:space="preserve">būtiski </w:t>
      </w:r>
      <w:r w:rsidRPr="00C43BE8">
        <w:rPr>
          <w:sz w:val="28"/>
          <w:szCs w:val="28"/>
        </w:rPr>
        <w:t xml:space="preserve">neietekmēs </w:t>
      </w:r>
      <w:r w:rsidR="000B1E97" w:rsidRPr="00C43BE8">
        <w:rPr>
          <w:sz w:val="28"/>
          <w:szCs w:val="28"/>
        </w:rPr>
        <w:t>nodarbināto sieviešu un vīriešu īpatsvara izmaiņas, kuriem darba samaksa ir noteikta minimālās mēneša darba algas apmērā.</w:t>
      </w:r>
      <w:r w:rsidR="00F5240A">
        <w:rPr>
          <w:sz w:val="28"/>
          <w:szCs w:val="28"/>
        </w:rPr>
        <w:t xml:space="preserve"> </w:t>
      </w:r>
      <w:r w:rsidR="00D04DA0" w:rsidRPr="00C43BE8">
        <w:rPr>
          <w:sz w:val="28"/>
          <w:szCs w:val="28"/>
        </w:rPr>
        <w:t>Tomēr Latvijā pastāv profesiju segregācija, kur sievietes pakalpojumu sfērā ir vairāk pārstāvētas, nekā vīrieši, taču tieši pakalpojumu sfērā parasti ir augstāks zemāk atalgotu darba vietu īpatsvars. Līdz ar to var secināt, ka minimālās mēneša darba algas paaugstināšana varētu atstāt lielāku ietekmi tieši uz sieviešu situāciju darba tirgū. No otras puses pārlieku liela minimālās mēneša darba algas paaugstināšana var veicināt darba vietu samazinājumu zemāk atalgoto segmentā, tādējādi arī te</w:t>
      </w:r>
      <w:r w:rsidR="003B11AE" w:rsidRPr="00C43BE8">
        <w:rPr>
          <w:sz w:val="28"/>
          <w:szCs w:val="28"/>
        </w:rPr>
        <w:t xml:space="preserve"> vairāk skarot tieši sievietes.</w:t>
      </w:r>
      <w:r w:rsidR="00052A47">
        <w:rPr>
          <w:sz w:val="28"/>
          <w:szCs w:val="28"/>
        </w:rPr>
        <w:t xml:space="preserve"> Saskaņā ar CSP datiem </w:t>
      </w:r>
      <w:r w:rsidR="00DE52AD">
        <w:rPr>
          <w:sz w:val="28"/>
          <w:szCs w:val="28"/>
        </w:rPr>
        <w:t xml:space="preserve">gan </w:t>
      </w:r>
      <w:r w:rsidR="00052A47">
        <w:rPr>
          <w:sz w:val="28"/>
          <w:szCs w:val="28"/>
        </w:rPr>
        <w:t>2013.gada 1.ceturksnī</w:t>
      </w:r>
      <w:r w:rsidR="00DE52AD">
        <w:rPr>
          <w:sz w:val="28"/>
          <w:szCs w:val="28"/>
        </w:rPr>
        <w:t>,</w:t>
      </w:r>
      <w:r w:rsidR="00052A47">
        <w:rPr>
          <w:sz w:val="28"/>
          <w:szCs w:val="28"/>
        </w:rPr>
        <w:t xml:space="preserve"> </w:t>
      </w:r>
      <w:r w:rsidR="00DE52AD">
        <w:rPr>
          <w:sz w:val="28"/>
          <w:szCs w:val="28"/>
        </w:rPr>
        <w:t xml:space="preserve">gan 2014.gada 1.ceturksnī </w:t>
      </w:r>
      <w:r w:rsidR="00052A47">
        <w:rPr>
          <w:sz w:val="28"/>
          <w:szCs w:val="28"/>
        </w:rPr>
        <w:t>sieviešu vidējā darba samaksa bija 83% no vīriešu vidējās darba samaksas</w:t>
      </w:r>
      <w:r w:rsidR="00DE52AD">
        <w:rPr>
          <w:sz w:val="28"/>
          <w:szCs w:val="28"/>
        </w:rPr>
        <w:t>.</w:t>
      </w:r>
      <w:r w:rsidR="0001246E">
        <w:rPr>
          <w:sz w:val="28"/>
          <w:szCs w:val="28"/>
        </w:rPr>
        <w:t xml:space="preserve"> Pa darbības veidiem </w:t>
      </w:r>
      <w:r w:rsidR="000A11D8">
        <w:rPr>
          <w:sz w:val="28"/>
          <w:szCs w:val="28"/>
        </w:rPr>
        <w:t xml:space="preserve">2014.gada 1.ceturksnī salīdzinājumā ar 2013.gada 1.ceturksni vidējā darba samaksa sievietēm attiecībā pret vīriešu vidējo darba samaksu </w:t>
      </w:r>
      <w:r w:rsidR="000A11D8" w:rsidRPr="00171B82">
        <w:rPr>
          <w:sz w:val="28"/>
          <w:szCs w:val="28"/>
          <w:u w:val="single"/>
        </w:rPr>
        <w:t>paaugstinājās</w:t>
      </w:r>
      <w:r w:rsidR="000A11D8">
        <w:rPr>
          <w:sz w:val="28"/>
          <w:szCs w:val="28"/>
        </w:rPr>
        <w:t xml:space="preserve"> tādās nozarēs, kā</w:t>
      </w:r>
      <w:r w:rsidR="00171B82">
        <w:rPr>
          <w:sz w:val="28"/>
          <w:szCs w:val="28"/>
        </w:rPr>
        <w:t>:</w:t>
      </w:r>
    </w:p>
    <w:p w:rsidR="00171B82" w:rsidRDefault="000A11D8" w:rsidP="00171B82">
      <w:pPr>
        <w:pStyle w:val="NormalWeb"/>
        <w:numPr>
          <w:ilvl w:val="0"/>
          <w:numId w:val="17"/>
        </w:numPr>
        <w:spacing w:before="0" w:beforeAutospacing="0" w:after="0" w:afterAutospacing="0"/>
        <w:ind w:left="709" w:hanging="425"/>
        <w:jc w:val="both"/>
        <w:rPr>
          <w:sz w:val="28"/>
          <w:szCs w:val="28"/>
        </w:rPr>
      </w:pPr>
      <w:r>
        <w:rPr>
          <w:sz w:val="28"/>
          <w:szCs w:val="28"/>
        </w:rPr>
        <w:t>mežsaimniecība un mežizstrāde;</w:t>
      </w:r>
    </w:p>
    <w:p w:rsidR="00171B82" w:rsidRDefault="000A11D8" w:rsidP="00171B82">
      <w:pPr>
        <w:pStyle w:val="NormalWeb"/>
        <w:numPr>
          <w:ilvl w:val="0"/>
          <w:numId w:val="17"/>
        </w:numPr>
        <w:spacing w:before="0" w:beforeAutospacing="0" w:after="0" w:afterAutospacing="0"/>
        <w:ind w:left="709" w:hanging="425"/>
        <w:jc w:val="both"/>
        <w:rPr>
          <w:sz w:val="28"/>
          <w:szCs w:val="28"/>
        </w:rPr>
      </w:pPr>
      <w:r>
        <w:rPr>
          <w:sz w:val="28"/>
          <w:szCs w:val="28"/>
        </w:rPr>
        <w:t>augu un dzīvnieku eļļu un tauku ražošana;</w:t>
      </w:r>
    </w:p>
    <w:p w:rsidR="00171B82" w:rsidRDefault="000A11D8" w:rsidP="00171B82">
      <w:pPr>
        <w:pStyle w:val="NormalWeb"/>
        <w:numPr>
          <w:ilvl w:val="0"/>
          <w:numId w:val="17"/>
        </w:numPr>
        <w:spacing w:before="0" w:beforeAutospacing="0" w:after="0" w:afterAutospacing="0"/>
        <w:ind w:left="709" w:hanging="425"/>
        <w:jc w:val="both"/>
        <w:rPr>
          <w:sz w:val="28"/>
          <w:szCs w:val="28"/>
        </w:rPr>
      </w:pPr>
      <w:r>
        <w:rPr>
          <w:sz w:val="28"/>
          <w:szCs w:val="28"/>
        </w:rPr>
        <w:t>ādas un ādas izstrādājumu ražošana;</w:t>
      </w:r>
    </w:p>
    <w:p w:rsidR="00171B82" w:rsidRDefault="000A11D8" w:rsidP="00171B82">
      <w:pPr>
        <w:pStyle w:val="NormalWeb"/>
        <w:numPr>
          <w:ilvl w:val="0"/>
          <w:numId w:val="17"/>
        </w:numPr>
        <w:spacing w:before="0" w:beforeAutospacing="0" w:after="0" w:afterAutospacing="0"/>
        <w:ind w:left="709" w:hanging="425"/>
        <w:jc w:val="both"/>
        <w:rPr>
          <w:sz w:val="28"/>
          <w:szCs w:val="28"/>
        </w:rPr>
      </w:pPr>
      <w:r>
        <w:rPr>
          <w:sz w:val="28"/>
          <w:szCs w:val="28"/>
        </w:rPr>
        <w:t>automobiļu, piekabju un puspiekabju ražošana;</w:t>
      </w:r>
    </w:p>
    <w:p w:rsidR="00171B82" w:rsidRDefault="000A11D8" w:rsidP="00171B82">
      <w:pPr>
        <w:pStyle w:val="NormalWeb"/>
        <w:numPr>
          <w:ilvl w:val="0"/>
          <w:numId w:val="17"/>
        </w:numPr>
        <w:spacing w:before="0" w:beforeAutospacing="0" w:after="0" w:afterAutospacing="0"/>
        <w:ind w:left="709" w:hanging="425"/>
        <w:jc w:val="both"/>
        <w:rPr>
          <w:sz w:val="28"/>
          <w:szCs w:val="28"/>
        </w:rPr>
      </w:pPr>
      <w:r>
        <w:rPr>
          <w:sz w:val="28"/>
          <w:szCs w:val="28"/>
        </w:rPr>
        <w:t>notekūdeņu savākšana un attīrīšana;</w:t>
      </w:r>
    </w:p>
    <w:p w:rsidR="00171B82" w:rsidRDefault="000A11D8" w:rsidP="00171B82">
      <w:pPr>
        <w:pStyle w:val="NormalWeb"/>
        <w:numPr>
          <w:ilvl w:val="0"/>
          <w:numId w:val="17"/>
        </w:numPr>
        <w:spacing w:before="0" w:beforeAutospacing="0" w:after="0" w:afterAutospacing="0"/>
        <w:ind w:left="709" w:hanging="425"/>
        <w:jc w:val="both"/>
        <w:rPr>
          <w:sz w:val="28"/>
          <w:szCs w:val="28"/>
        </w:rPr>
      </w:pPr>
      <w:r>
        <w:rPr>
          <w:sz w:val="28"/>
          <w:szCs w:val="28"/>
        </w:rPr>
        <w:t>būvniecība;</w:t>
      </w:r>
    </w:p>
    <w:p w:rsidR="00171B82" w:rsidRDefault="000A11D8" w:rsidP="00171B82">
      <w:pPr>
        <w:pStyle w:val="NormalWeb"/>
        <w:numPr>
          <w:ilvl w:val="0"/>
          <w:numId w:val="17"/>
        </w:numPr>
        <w:spacing w:before="0" w:beforeAutospacing="0" w:after="0" w:afterAutospacing="0"/>
        <w:ind w:left="709" w:hanging="425"/>
        <w:jc w:val="both"/>
        <w:rPr>
          <w:sz w:val="28"/>
          <w:szCs w:val="28"/>
        </w:rPr>
      </w:pPr>
      <w:r>
        <w:rPr>
          <w:sz w:val="28"/>
          <w:szCs w:val="28"/>
        </w:rPr>
        <w:t>sauszemes transports un cauruļvadu transports;</w:t>
      </w:r>
    </w:p>
    <w:p w:rsidR="00171B82" w:rsidRPr="00171B82" w:rsidRDefault="000A11D8" w:rsidP="00171B82">
      <w:pPr>
        <w:pStyle w:val="NormalWeb"/>
        <w:numPr>
          <w:ilvl w:val="0"/>
          <w:numId w:val="17"/>
        </w:numPr>
        <w:spacing w:before="0" w:beforeAutospacing="0" w:after="0" w:afterAutospacing="0"/>
        <w:ind w:left="709" w:hanging="425"/>
        <w:jc w:val="both"/>
        <w:rPr>
          <w:sz w:val="28"/>
          <w:szCs w:val="28"/>
        </w:rPr>
      </w:pPr>
      <w:r>
        <w:rPr>
          <w:sz w:val="28"/>
          <w:szCs w:val="28"/>
        </w:rPr>
        <w:lastRenderedPageBreak/>
        <w:t>k</w:t>
      </w:r>
      <w:r w:rsidRPr="000A11D8">
        <w:rPr>
          <w:bCs/>
          <w:sz w:val="28"/>
          <w:szCs w:val="28"/>
        </w:rPr>
        <w:t>inofilmu, video filmu, televīzijas programmu un skaņu ierakstu producēšana</w:t>
      </w:r>
      <w:r>
        <w:rPr>
          <w:bCs/>
          <w:sz w:val="28"/>
          <w:szCs w:val="28"/>
        </w:rPr>
        <w:t>;</w:t>
      </w:r>
    </w:p>
    <w:p w:rsidR="00171B82" w:rsidRPr="00171B82" w:rsidRDefault="000A11D8" w:rsidP="00171B82">
      <w:pPr>
        <w:pStyle w:val="NormalWeb"/>
        <w:numPr>
          <w:ilvl w:val="0"/>
          <w:numId w:val="17"/>
        </w:numPr>
        <w:spacing w:before="0" w:beforeAutospacing="0" w:after="0" w:afterAutospacing="0"/>
        <w:ind w:left="709" w:hanging="425"/>
        <w:jc w:val="both"/>
        <w:rPr>
          <w:sz w:val="28"/>
          <w:szCs w:val="28"/>
        </w:rPr>
      </w:pPr>
      <w:r>
        <w:rPr>
          <w:bCs/>
          <w:sz w:val="28"/>
          <w:szCs w:val="28"/>
        </w:rPr>
        <w:t>a</w:t>
      </w:r>
      <w:r w:rsidRPr="000A11D8">
        <w:rPr>
          <w:bCs/>
          <w:sz w:val="28"/>
          <w:szCs w:val="28"/>
        </w:rPr>
        <w:t>psardzes pakalpojumi un izmeklēšana</w:t>
      </w:r>
      <w:r>
        <w:rPr>
          <w:bCs/>
          <w:sz w:val="28"/>
          <w:szCs w:val="28"/>
        </w:rPr>
        <w:t>,</w:t>
      </w:r>
    </w:p>
    <w:p w:rsidR="00171B82" w:rsidRDefault="000A11D8" w:rsidP="00171B82">
      <w:pPr>
        <w:pStyle w:val="NormalWeb"/>
        <w:spacing w:before="0" w:beforeAutospacing="0" w:after="0" w:afterAutospacing="0"/>
        <w:jc w:val="both"/>
        <w:rPr>
          <w:bCs/>
          <w:sz w:val="28"/>
          <w:szCs w:val="28"/>
        </w:rPr>
      </w:pPr>
      <w:r>
        <w:rPr>
          <w:bCs/>
          <w:sz w:val="28"/>
          <w:szCs w:val="28"/>
        </w:rPr>
        <w:t xml:space="preserve">bet </w:t>
      </w:r>
      <w:r w:rsidRPr="00171B82">
        <w:rPr>
          <w:bCs/>
          <w:sz w:val="28"/>
          <w:szCs w:val="28"/>
          <w:u w:val="single"/>
        </w:rPr>
        <w:t>samazinājās</w:t>
      </w:r>
      <w:r w:rsidR="00171B82">
        <w:rPr>
          <w:bCs/>
          <w:sz w:val="28"/>
          <w:szCs w:val="28"/>
        </w:rPr>
        <w:t>:</w:t>
      </w:r>
    </w:p>
    <w:p w:rsidR="00171B82" w:rsidRPr="00171B82" w:rsidRDefault="000A11D8" w:rsidP="00171B82">
      <w:pPr>
        <w:pStyle w:val="NormalWeb"/>
        <w:numPr>
          <w:ilvl w:val="0"/>
          <w:numId w:val="18"/>
        </w:numPr>
        <w:spacing w:before="0" w:beforeAutospacing="0" w:after="0" w:afterAutospacing="0"/>
        <w:jc w:val="both"/>
        <w:rPr>
          <w:sz w:val="28"/>
          <w:szCs w:val="28"/>
        </w:rPr>
      </w:pPr>
      <w:r>
        <w:rPr>
          <w:bCs/>
          <w:sz w:val="28"/>
          <w:szCs w:val="28"/>
        </w:rPr>
        <w:t>s</w:t>
      </w:r>
      <w:r w:rsidRPr="000A11D8">
        <w:rPr>
          <w:bCs/>
          <w:sz w:val="28"/>
          <w:szCs w:val="28"/>
        </w:rPr>
        <w:t>anitārija un citi atkritumu apsaimniekošanas pakalpojumi</w:t>
      </w:r>
      <w:r>
        <w:rPr>
          <w:bCs/>
          <w:sz w:val="28"/>
          <w:szCs w:val="28"/>
        </w:rPr>
        <w:t>;</w:t>
      </w:r>
    </w:p>
    <w:p w:rsidR="00171B82" w:rsidRPr="00171B82" w:rsidRDefault="000A11D8" w:rsidP="00171B82">
      <w:pPr>
        <w:pStyle w:val="NormalWeb"/>
        <w:numPr>
          <w:ilvl w:val="0"/>
          <w:numId w:val="18"/>
        </w:numPr>
        <w:spacing w:before="0" w:beforeAutospacing="0" w:after="0" w:afterAutospacing="0"/>
        <w:jc w:val="both"/>
        <w:rPr>
          <w:sz w:val="28"/>
          <w:szCs w:val="28"/>
        </w:rPr>
      </w:pPr>
      <w:r>
        <w:rPr>
          <w:bCs/>
          <w:sz w:val="28"/>
          <w:szCs w:val="28"/>
        </w:rPr>
        <w:t>p</w:t>
      </w:r>
      <w:r w:rsidRPr="000A11D8">
        <w:rPr>
          <w:bCs/>
          <w:sz w:val="28"/>
          <w:szCs w:val="28"/>
        </w:rPr>
        <w:t>rofesionālie, zinātniskie un tehniskie pakalpojumi</w:t>
      </w:r>
      <w:r>
        <w:rPr>
          <w:bCs/>
          <w:sz w:val="28"/>
          <w:szCs w:val="28"/>
        </w:rPr>
        <w:t>;</w:t>
      </w:r>
    </w:p>
    <w:p w:rsidR="00171B82" w:rsidRPr="00171B82" w:rsidRDefault="000A11D8" w:rsidP="00171B82">
      <w:pPr>
        <w:pStyle w:val="NormalWeb"/>
        <w:numPr>
          <w:ilvl w:val="0"/>
          <w:numId w:val="18"/>
        </w:numPr>
        <w:spacing w:before="0" w:beforeAutospacing="0" w:after="0" w:afterAutospacing="0"/>
        <w:jc w:val="both"/>
        <w:rPr>
          <w:sz w:val="28"/>
          <w:szCs w:val="28"/>
        </w:rPr>
      </w:pPr>
      <w:r>
        <w:rPr>
          <w:bCs/>
          <w:sz w:val="28"/>
          <w:szCs w:val="28"/>
        </w:rPr>
        <w:t>j</w:t>
      </w:r>
      <w:r w:rsidRPr="000A11D8">
        <w:rPr>
          <w:bCs/>
          <w:sz w:val="28"/>
          <w:szCs w:val="28"/>
        </w:rPr>
        <w:t>uridiskie un grāmatvedības pakalpojumi</w:t>
      </w:r>
      <w:r>
        <w:rPr>
          <w:bCs/>
          <w:sz w:val="28"/>
          <w:szCs w:val="28"/>
        </w:rPr>
        <w:t>;</w:t>
      </w:r>
    </w:p>
    <w:p w:rsidR="00171B82" w:rsidRPr="00171B82" w:rsidRDefault="000A11D8" w:rsidP="00171B82">
      <w:pPr>
        <w:pStyle w:val="NormalWeb"/>
        <w:numPr>
          <w:ilvl w:val="0"/>
          <w:numId w:val="18"/>
        </w:numPr>
        <w:spacing w:before="0" w:beforeAutospacing="0" w:after="0" w:afterAutospacing="0"/>
        <w:jc w:val="both"/>
        <w:rPr>
          <w:sz w:val="28"/>
          <w:szCs w:val="28"/>
        </w:rPr>
      </w:pPr>
      <w:r>
        <w:rPr>
          <w:bCs/>
          <w:sz w:val="28"/>
          <w:szCs w:val="28"/>
        </w:rPr>
        <w:t>c</w:t>
      </w:r>
      <w:r w:rsidRPr="000A11D8">
        <w:rPr>
          <w:bCs/>
          <w:sz w:val="28"/>
          <w:szCs w:val="28"/>
        </w:rPr>
        <w:t>entrālo biroju darbība</w:t>
      </w:r>
      <w:r>
        <w:rPr>
          <w:bCs/>
          <w:sz w:val="28"/>
          <w:szCs w:val="28"/>
        </w:rPr>
        <w:t>,</w:t>
      </w:r>
      <w:r w:rsidRPr="000A11D8">
        <w:rPr>
          <w:bCs/>
          <w:sz w:val="28"/>
          <w:szCs w:val="28"/>
        </w:rPr>
        <w:t xml:space="preserve"> konsultēšana komercdarbībā un vadībzinībās</w:t>
      </w:r>
      <w:r w:rsidR="00583AF1">
        <w:rPr>
          <w:bCs/>
          <w:sz w:val="28"/>
          <w:szCs w:val="28"/>
        </w:rPr>
        <w:t>;</w:t>
      </w:r>
    </w:p>
    <w:p w:rsidR="00171B82" w:rsidRPr="00171B82" w:rsidRDefault="00583AF1" w:rsidP="00171B82">
      <w:pPr>
        <w:pStyle w:val="NormalWeb"/>
        <w:numPr>
          <w:ilvl w:val="0"/>
          <w:numId w:val="18"/>
        </w:numPr>
        <w:spacing w:before="0" w:beforeAutospacing="0" w:after="0" w:afterAutospacing="0"/>
        <w:jc w:val="both"/>
        <w:rPr>
          <w:sz w:val="28"/>
          <w:szCs w:val="28"/>
        </w:rPr>
      </w:pPr>
      <w:r>
        <w:rPr>
          <w:bCs/>
          <w:sz w:val="28"/>
          <w:szCs w:val="28"/>
        </w:rPr>
        <w:t>r</w:t>
      </w:r>
      <w:r w:rsidR="000A11D8" w:rsidRPr="000A11D8">
        <w:rPr>
          <w:bCs/>
          <w:sz w:val="28"/>
          <w:szCs w:val="28"/>
        </w:rPr>
        <w:t>eklāmas un tirgus izpētes pakalpojumi</w:t>
      </w:r>
      <w:r>
        <w:rPr>
          <w:bCs/>
          <w:sz w:val="28"/>
          <w:szCs w:val="28"/>
        </w:rPr>
        <w:t>;</w:t>
      </w:r>
    </w:p>
    <w:p w:rsidR="00171B82" w:rsidRPr="00171B82" w:rsidRDefault="00583AF1" w:rsidP="00171B82">
      <w:pPr>
        <w:pStyle w:val="NormalWeb"/>
        <w:numPr>
          <w:ilvl w:val="0"/>
          <w:numId w:val="18"/>
        </w:numPr>
        <w:spacing w:before="0" w:beforeAutospacing="0" w:after="0" w:afterAutospacing="0"/>
        <w:jc w:val="both"/>
        <w:rPr>
          <w:sz w:val="28"/>
          <w:szCs w:val="28"/>
        </w:rPr>
      </w:pPr>
      <w:r>
        <w:rPr>
          <w:bCs/>
          <w:sz w:val="28"/>
          <w:szCs w:val="28"/>
        </w:rPr>
        <w:t>v</w:t>
      </w:r>
      <w:r w:rsidR="000A11D8" w:rsidRPr="000A11D8">
        <w:rPr>
          <w:bCs/>
          <w:sz w:val="28"/>
          <w:szCs w:val="28"/>
        </w:rPr>
        <w:t>eterinārie pakalpojumi</w:t>
      </w:r>
      <w:r>
        <w:rPr>
          <w:bCs/>
          <w:sz w:val="28"/>
          <w:szCs w:val="28"/>
        </w:rPr>
        <w:t>;</w:t>
      </w:r>
    </w:p>
    <w:p w:rsidR="00171B82" w:rsidRPr="00171B82" w:rsidRDefault="00583AF1" w:rsidP="00171B82">
      <w:pPr>
        <w:pStyle w:val="NormalWeb"/>
        <w:numPr>
          <w:ilvl w:val="0"/>
          <w:numId w:val="18"/>
        </w:numPr>
        <w:spacing w:before="0" w:beforeAutospacing="0" w:after="0" w:afterAutospacing="0"/>
        <w:jc w:val="both"/>
        <w:rPr>
          <w:sz w:val="28"/>
          <w:szCs w:val="28"/>
        </w:rPr>
      </w:pPr>
      <w:r>
        <w:rPr>
          <w:bCs/>
          <w:sz w:val="28"/>
          <w:szCs w:val="28"/>
        </w:rPr>
        <w:t>a</w:t>
      </w:r>
      <w:r w:rsidR="000A11D8" w:rsidRPr="000A11D8">
        <w:rPr>
          <w:bCs/>
          <w:sz w:val="28"/>
          <w:szCs w:val="28"/>
        </w:rPr>
        <w:t>dministratīvo un apkalpojošo dienestu darbība</w:t>
      </w:r>
      <w:r>
        <w:rPr>
          <w:bCs/>
          <w:sz w:val="28"/>
          <w:szCs w:val="28"/>
        </w:rPr>
        <w:t>;</w:t>
      </w:r>
    </w:p>
    <w:p w:rsidR="00171B82" w:rsidRPr="00171B82" w:rsidRDefault="00583AF1" w:rsidP="00171B82">
      <w:pPr>
        <w:pStyle w:val="NormalWeb"/>
        <w:numPr>
          <w:ilvl w:val="0"/>
          <w:numId w:val="18"/>
        </w:numPr>
        <w:spacing w:before="0" w:beforeAutospacing="0" w:after="0" w:afterAutospacing="0"/>
        <w:jc w:val="both"/>
        <w:rPr>
          <w:sz w:val="28"/>
          <w:szCs w:val="28"/>
        </w:rPr>
      </w:pPr>
      <w:r>
        <w:rPr>
          <w:bCs/>
          <w:sz w:val="28"/>
          <w:szCs w:val="28"/>
        </w:rPr>
        <w:t>c</w:t>
      </w:r>
      <w:r w:rsidR="000A11D8" w:rsidRPr="000A11D8">
        <w:rPr>
          <w:bCs/>
          <w:sz w:val="28"/>
          <w:szCs w:val="28"/>
        </w:rPr>
        <w:t>eļojumu biroju, tūrisma operatoru rezervēšanas pakalpojumi un ar tiem saistīti pasākumi</w:t>
      </w:r>
      <w:r>
        <w:rPr>
          <w:bCs/>
          <w:sz w:val="28"/>
          <w:szCs w:val="28"/>
        </w:rPr>
        <w:t>;</w:t>
      </w:r>
    </w:p>
    <w:p w:rsidR="00171B82" w:rsidRPr="00171B82" w:rsidRDefault="00583AF1" w:rsidP="00171B82">
      <w:pPr>
        <w:pStyle w:val="NormalWeb"/>
        <w:numPr>
          <w:ilvl w:val="0"/>
          <w:numId w:val="18"/>
        </w:numPr>
        <w:spacing w:before="0" w:beforeAutospacing="0" w:after="0" w:afterAutospacing="0"/>
        <w:jc w:val="both"/>
        <w:rPr>
          <w:sz w:val="28"/>
          <w:szCs w:val="28"/>
        </w:rPr>
      </w:pPr>
      <w:r>
        <w:rPr>
          <w:bCs/>
          <w:sz w:val="28"/>
          <w:szCs w:val="28"/>
        </w:rPr>
        <w:t>v</w:t>
      </w:r>
      <w:r w:rsidR="000A11D8" w:rsidRPr="000A11D8">
        <w:rPr>
          <w:bCs/>
          <w:sz w:val="28"/>
          <w:szCs w:val="28"/>
        </w:rPr>
        <w:t>alsts pārvalde un aizsardzība</w:t>
      </w:r>
      <w:r>
        <w:rPr>
          <w:bCs/>
          <w:sz w:val="28"/>
          <w:szCs w:val="28"/>
        </w:rPr>
        <w:t>,</w:t>
      </w:r>
      <w:r w:rsidR="000A11D8" w:rsidRPr="000A11D8">
        <w:rPr>
          <w:bCs/>
          <w:sz w:val="28"/>
          <w:szCs w:val="28"/>
        </w:rPr>
        <w:t xml:space="preserve"> obligātā sociālā apdrošināšana</w:t>
      </w:r>
      <w:r>
        <w:rPr>
          <w:bCs/>
          <w:sz w:val="28"/>
          <w:szCs w:val="28"/>
        </w:rPr>
        <w:t>;</w:t>
      </w:r>
    </w:p>
    <w:p w:rsidR="003B11AE" w:rsidRPr="000A11D8" w:rsidRDefault="00583AF1" w:rsidP="00171B82">
      <w:pPr>
        <w:pStyle w:val="NormalWeb"/>
        <w:numPr>
          <w:ilvl w:val="0"/>
          <w:numId w:val="18"/>
        </w:numPr>
        <w:spacing w:before="0" w:beforeAutospacing="0" w:after="0" w:afterAutospacing="0"/>
        <w:jc w:val="both"/>
        <w:rPr>
          <w:sz w:val="28"/>
          <w:szCs w:val="28"/>
        </w:rPr>
      </w:pPr>
      <w:r>
        <w:rPr>
          <w:bCs/>
          <w:sz w:val="28"/>
          <w:szCs w:val="28"/>
        </w:rPr>
        <w:t>s</w:t>
      </w:r>
      <w:r w:rsidR="000A11D8" w:rsidRPr="000A11D8">
        <w:rPr>
          <w:bCs/>
          <w:sz w:val="28"/>
          <w:szCs w:val="28"/>
        </w:rPr>
        <w:t>ociālā aprūpe ar izmitināšanu</w:t>
      </w:r>
      <w:r>
        <w:rPr>
          <w:bCs/>
          <w:sz w:val="28"/>
          <w:szCs w:val="28"/>
        </w:rPr>
        <w:t>.</w:t>
      </w:r>
    </w:p>
    <w:p w:rsidR="00171B82" w:rsidRPr="005534D3" w:rsidRDefault="00171B82" w:rsidP="00171B82">
      <w:pPr>
        <w:ind w:right="-109"/>
        <w:rPr>
          <w:bCs/>
          <w:sz w:val="28"/>
          <w:szCs w:val="28"/>
        </w:rPr>
      </w:pPr>
    </w:p>
    <w:p w:rsidR="00534B55" w:rsidRPr="00C43BE8" w:rsidRDefault="00534B55" w:rsidP="005C5D79">
      <w:pPr>
        <w:ind w:firstLine="720"/>
        <w:jc w:val="both"/>
        <w:rPr>
          <w:b/>
          <w:sz w:val="28"/>
          <w:szCs w:val="28"/>
        </w:rPr>
      </w:pPr>
      <w:r w:rsidRPr="00C43BE8">
        <w:rPr>
          <w:b/>
          <w:sz w:val="28"/>
          <w:szCs w:val="28"/>
        </w:rPr>
        <w:t>2.2. Plānotās izmaiņas nodokļu sistēmā (iedzīvotāju ienākuma nodokļa likmes, ar iedzīvotāju ienākuma nodokli neapliekamā minimuma, obligātās valsts sociālās apdrošināšanas iemaksu likmju izmaiņas)</w:t>
      </w:r>
    </w:p>
    <w:p w:rsidR="003C7503" w:rsidRPr="00C43BE8" w:rsidRDefault="003C7503" w:rsidP="003C7503">
      <w:pPr>
        <w:ind w:firstLine="567"/>
        <w:jc w:val="both"/>
        <w:rPr>
          <w:sz w:val="28"/>
          <w:szCs w:val="28"/>
        </w:rPr>
      </w:pPr>
      <w:r w:rsidRPr="00C43BE8">
        <w:rPr>
          <w:sz w:val="28"/>
          <w:szCs w:val="28"/>
        </w:rPr>
        <w:t>Saskaņā ar 2013.gada 6.novembra grozījumiem likumā „Par iedzīvotāju ienākuma nodokli”, kas stājas spēkā ar 2014.gada 1.janvāri, iedzīvotāju ienākuma nodokļa (turpmāk – IIN) likme 2014.gadā ir 24%, 2015.gadā t</w:t>
      </w:r>
      <w:r>
        <w:rPr>
          <w:sz w:val="28"/>
          <w:szCs w:val="28"/>
        </w:rPr>
        <w:t>o paredzēts</w:t>
      </w:r>
      <w:r w:rsidRPr="00C43BE8">
        <w:rPr>
          <w:sz w:val="28"/>
          <w:szCs w:val="28"/>
        </w:rPr>
        <w:t xml:space="preserve"> samazināt no </w:t>
      </w:r>
      <w:r>
        <w:rPr>
          <w:sz w:val="28"/>
          <w:szCs w:val="28"/>
        </w:rPr>
        <w:t>24% uz 23% un 2016.gadā uz 22%.</w:t>
      </w:r>
    </w:p>
    <w:p w:rsidR="003C7503" w:rsidRPr="005534D3" w:rsidRDefault="003C7503" w:rsidP="003C7503">
      <w:pPr>
        <w:pStyle w:val="BodyText2"/>
        <w:spacing w:after="0" w:line="240" w:lineRule="auto"/>
        <w:ind w:firstLine="709"/>
        <w:jc w:val="both"/>
        <w:rPr>
          <w:sz w:val="28"/>
          <w:szCs w:val="28"/>
        </w:rPr>
      </w:pPr>
      <w:r w:rsidRPr="005534D3">
        <w:rPr>
          <w:sz w:val="28"/>
          <w:szCs w:val="28"/>
        </w:rPr>
        <w:t xml:space="preserve">Attiecībā uz izmaiņām nodokļu sistēmā Finanšu ministrija informē, ka saskaņā ar Deklarācijas par Laimdotas </w:t>
      </w:r>
      <w:proofErr w:type="spellStart"/>
      <w:r w:rsidRPr="005534D3">
        <w:rPr>
          <w:sz w:val="28"/>
          <w:szCs w:val="28"/>
        </w:rPr>
        <w:t>Straujumas</w:t>
      </w:r>
      <w:proofErr w:type="spellEnd"/>
      <w:r w:rsidRPr="005534D3">
        <w:rPr>
          <w:sz w:val="28"/>
          <w:szCs w:val="28"/>
        </w:rPr>
        <w:t xml:space="preserve"> vadītā Ministru kabineta iecerēto</w:t>
      </w:r>
      <w:r>
        <w:rPr>
          <w:sz w:val="28"/>
          <w:szCs w:val="28"/>
        </w:rPr>
        <w:t xml:space="preserve"> darbību 90.punktā (II sadaļas „</w:t>
      </w:r>
      <w:r w:rsidRPr="005534D3">
        <w:rPr>
          <w:sz w:val="28"/>
          <w:szCs w:val="28"/>
        </w:rPr>
        <w:t>Ģimenes un indivīda dzīves k</w:t>
      </w:r>
      <w:r>
        <w:rPr>
          <w:sz w:val="28"/>
          <w:szCs w:val="28"/>
        </w:rPr>
        <w:t>valitāte Latvijā” apakšsadaļā „</w:t>
      </w:r>
      <w:r w:rsidRPr="005534D3">
        <w:rPr>
          <w:sz w:val="28"/>
          <w:szCs w:val="28"/>
        </w:rPr>
        <w:t xml:space="preserve">Sociālās un ienākumu nevienlīdzības mazināšana, veselība”) Finanšu ministrija </w:t>
      </w:r>
      <w:r>
        <w:rPr>
          <w:sz w:val="28"/>
          <w:szCs w:val="28"/>
        </w:rPr>
        <w:t>ir izstrādājusi konceptuālo ziņojumu „</w:t>
      </w:r>
      <w:r w:rsidRPr="005534D3">
        <w:rPr>
          <w:sz w:val="28"/>
          <w:szCs w:val="28"/>
        </w:rPr>
        <w:t>Priekšlikumi diferencētā neapliekamā minimuma ieviešanai, kompleksi izvērtējot iedzīvotāju ienākuma nodokļa atvieglojumus un darbaspēka nodokļu sloga mazināšanu”, kurā ir piedāvāti vairāki varianti nodokļu sloga samazināšanai zemu apmaksātajam darbaspēkam, izmai</w:t>
      </w:r>
      <w:r>
        <w:rPr>
          <w:sz w:val="28"/>
          <w:szCs w:val="28"/>
        </w:rPr>
        <w:t>not</w:t>
      </w:r>
      <w:r w:rsidRPr="005534D3">
        <w:rPr>
          <w:sz w:val="28"/>
          <w:szCs w:val="28"/>
        </w:rPr>
        <w:t xml:space="preserve"> iedzīvotāju ienākuma nodokļa neapliekam</w:t>
      </w:r>
      <w:r>
        <w:rPr>
          <w:sz w:val="28"/>
          <w:szCs w:val="28"/>
        </w:rPr>
        <w:t>o</w:t>
      </w:r>
      <w:r w:rsidRPr="005534D3">
        <w:rPr>
          <w:sz w:val="28"/>
          <w:szCs w:val="28"/>
        </w:rPr>
        <w:t xml:space="preserve"> minimum</w:t>
      </w:r>
      <w:r>
        <w:rPr>
          <w:sz w:val="28"/>
          <w:szCs w:val="28"/>
        </w:rPr>
        <w:t xml:space="preserve">u </w:t>
      </w:r>
      <w:r w:rsidRPr="00C43BE8">
        <w:rPr>
          <w:sz w:val="28"/>
          <w:szCs w:val="28"/>
        </w:rPr>
        <w:t>(turpmāk – ne</w:t>
      </w:r>
      <w:r>
        <w:rPr>
          <w:sz w:val="28"/>
          <w:szCs w:val="28"/>
        </w:rPr>
        <w:t>a</w:t>
      </w:r>
      <w:r w:rsidRPr="00C43BE8">
        <w:rPr>
          <w:sz w:val="28"/>
          <w:szCs w:val="28"/>
        </w:rPr>
        <w:t>pliekamais minimums)</w:t>
      </w:r>
      <w:r w:rsidRPr="005534D3">
        <w:rPr>
          <w:sz w:val="28"/>
          <w:szCs w:val="28"/>
        </w:rPr>
        <w:t>. Šis ziņojums šobrīd ir pēdējā saskaņošanas fāzē ministrijā un</w:t>
      </w:r>
      <w:r>
        <w:rPr>
          <w:sz w:val="28"/>
          <w:szCs w:val="28"/>
        </w:rPr>
        <w:t xml:space="preserve"> ir pieteikts izskatīšanai tuvākajā NTSP sēdē</w:t>
      </w:r>
      <w:r w:rsidRPr="005534D3">
        <w:rPr>
          <w:sz w:val="28"/>
          <w:szCs w:val="28"/>
        </w:rPr>
        <w:t xml:space="preserve">, </w:t>
      </w:r>
      <w:r>
        <w:rPr>
          <w:sz w:val="28"/>
          <w:szCs w:val="28"/>
        </w:rPr>
        <w:t xml:space="preserve">kurā valdības sociālajiem un sadarbības partneriem būs iespēja iepazīties ar ziņojumā ietvertajiem priekšlikumiem un </w:t>
      </w:r>
      <w:r w:rsidRPr="005534D3">
        <w:rPr>
          <w:sz w:val="28"/>
          <w:szCs w:val="28"/>
        </w:rPr>
        <w:t>vienoties par efektīvāko no piedāvātajiem nodokļu sloga samazināšanas veidiem zemu apmaksātajam darbaspēkam.</w:t>
      </w:r>
    </w:p>
    <w:p w:rsidR="0076772A" w:rsidRPr="00C43BE8" w:rsidRDefault="0076772A" w:rsidP="0076772A">
      <w:pPr>
        <w:ind w:right="-109" w:firstLine="720"/>
        <w:jc w:val="both"/>
        <w:rPr>
          <w:sz w:val="28"/>
          <w:szCs w:val="28"/>
        </w:rPr>
      </w:pPr>
      <w:r w:rsidRPr="00C43BE8">
        <w:rPr>
          <w:sz w:val="28"/>
          <w:szCs w:val="28"/>
        </w:rPr>
        <w:t>Lai uzlabotu iedzīvotāju ar zemiem ienākumiem situāciju, efektīvākais instruments ir neapliekamais minimums</w:t>
      </w:r>
      <w:r>
        <w:rPr>
          <w:sz w:val="28"/>
          <w:szCs w:val="28"/>
        </w:rPr>
        <w:t>. Piemēram, j</w:t>
      </w:r>
      <w:r w:rsidRPr="00C43BE8">
        <w:rPr>
          <w:sz w:val="28"/>
          <w:szCs w:val="28"/>
        </w:rPr>
        <w:t xml:space="preserve">a bruto minimālo mēneša darba algu paaugstina par </w:t>
      </w:r>
      <w:r w:rsidRPr="00C43BE8">
        <w:rPr>
          <w:b/>
          <w:sz w:val="28"/>
          <w:szCs w:val="28"/>
        </w:rPr>
        <w:t>4,</w:t>
      </w:r>
      <w:r>
        <w:rPr>
          <w:b/>
          <w:sz w:val="28"/>
          <w:szCs w:val="28"/>
        </w:rPr>
        <w:t>2</w:t>
      </w:r>
      <w:r w:rsidRPr="00C43BE8">
        <w:rPr>
          <w:b/>
          <w:sz w:val="28"/>
          <w:szCs w:val="28"/>
        </w:rPr>
        <w:t>%</w:t>
      </w:r>
      <w:r w:rsidRPr="00C43BE8">
        <w:rPr>
          <w:sz w:val="28"/>
          <w:szCs w:val="28"/>
        </w:rPr>
        <w:t xml:space="preserve"> (3</w:t>
      </w:r>
      <w:r>
        <w:rPr>
          <w:sz w:val="28"/>
          <w:szCs w:val="28"/>
        </w:rPr>
        <w:t>75</w:t>
      </w:r>
      <w:r w:rsidRPr="00C43BE8">
        <w:rPr>
          <w:sz w:val="28"/>
          <w:szCs w:val="28"/>
        </w:rPr>
        <w:t xml:space="preserve"> </w:t>
      </w:r>
      <w:proofErr w:type="spellStart"/>
      <w:r w:rsidRPr="00C43BE8">
        <w:rPr>
          <w:i/>
          <w:sz w:val="28"/>
          <w:szCs w:val="28"/>
        </w:rPr>
        <w:t>euro</w:t>
      </w:r>
      <w:proofErr w:type="spellEnd"/>
      <w:r w:rsidRPr="00C43BE8">
        <w:rPr>
          <w:sz w:val="28"/>
          <w:szCs w:val="28"/>
        </w:rPr>
        <w:t xml:space="preserve">), tad šāds apmērs ir ekvivalents neapliekamajam minimumam </w:t>
      </w:r>
      <w:r w:rsidRPr="00C43BE8">
        <w:rPr>
          <w:b/>
          <w:sz w:val="28"/>
          <w:szCs w:val="28"/>
        </w:rPr>
        <w:t>1</w:t>
      </w:r>
      <w:r>
        <w:rPr>
          <w:b/>
          <w:sz w:val="28"/>
          <w:szCs w:val="28"/>
        </w:rPr>
        <w:t>22</w:t>
      </w:r>
      <w:r w:rsidRPr="00C43BE8">
        <w:rPr>
          <w:b/>
          <w:sz w:val="28"/>
          <w:szCs w:val="28"/>
        </w:rPr>
        <w:t xml:space="preserve"> </w:t>
      </w:r>
      <w:proofErr w:type="spellStart"/>
      <w:r w:rsidRPr="00C43BE8">
        <w:rPr>
          <w:b/>
          <w:i/>
          <w:sz w:val="28"/>
          <w:szCs w:val="28"/>
        </w:rPr>
        <w:t>euro</w:t>
      </w:r>
      <w:proofErr w:type="spellEnd"/>
      <w:r w:rsidRPr="00C43BE8">
        <w:rPr>
          <w:b/>
          <w:sz w:val="28"/>
          <w:szCs w:val="28"/>
        </w:rPr>
        <w:t xml:space="preserve"> apmērā (ja iedzīvotāju ienākuma nodoklis samazinās no 2</w:t>
      </w:r>
      <w:r>
        <w:rPr>
          <w:b/>
          <w:sz w:val="28"/>
          <w:szCs w:val="28"/>
        </w:rPr>
        <w:t>3</w:t>
      </w:r>
      <w:r w:rsidRPr="00C43BE8">
        <w:rPr>
          <w:b/>
          <w:sz w:val="28"/>
          <w:szCs w:val="28"/>
        </w:rPr>
        <w:t>% uz 2</w:t>
      </w:r>
      <w:r>
        <w:rPr>
          <w:b/>
          <w:sz w:val="28"/>
          <w:szCs w:val="28"/>
        </w:rPr>
        <w:t>2</w:t>
      </w:r>
      <w:r w:rsidRPr="00C43BE8">
        <w:rPr>
          <w:b/>
          <w:sz w:val="28"/>
          <w:szCs w:val="28"/>
        </w:rPr>
        <w:t>%)</w:t>
      </w:r>
      <w:r w:rsidRPr="00C43BE8">
        <w:rPr>
          <w:sz w:val="28"/>
          <w:szCs w:val="28"/>
        </w:rPr>
        <w:t xml:space="preserve">, bet ja bruto minimālo mēneša darba algu </w:t>
      </w:r>
      <w:r w:rsidRPr="00C43BE8">
        <w:rPr>
          <w:sz w:val="28"/>
          <w:szCs w:val="28"/>
        </w:rPr>
        <w:lastRenderedPageBreak/>
        <w:t xml:space="preserve">paaugstina par </w:t>
      </w:r>
      <w:r>
        <w:rPr>
          <w:b/>
          <w:sz w:val="28"/>
          <w:szCs w:val="28"/>
        </w:rPr>
        <w:t>1</w:t>
      </w:r>
      <w:r w:rsidRPr="00C43BE8">
        <w:rPr>
          <w:b/>
          <w:sz w:val="28"/>
          <w:szCs w:val="28"/>
        </w:rPr>
        <w:t>,</w:t>
      </w:r>
      <w:r>
        <w:rPr>
          <w:b/>
          <w:sz w:val="28"/>
          <w:szCs w:val="28"/>
        </w:rPr>
        <w:t>9</w:t>
      </w:r>
      <w:r w:rsidRPr="00C43BE8">
        <w:rPr>
          <w:b/>
          <w:sz w:val="28"/>
          <w:szCs w:val="28"/>
        </w:rPr>
        <w:t>%</w:t>
      </w:r>
      <w:r w:rsidRPr="00C43BE8">
        <w:rPr>
          <w:sz w:val="28"/>
          <w:szCs w:val="28"/>
        </w:rPr>
        <w:t xml:space="preserve"> (3</w:t>
      </w:r>
      <w:r>
        <w:rPr>
          <w:sz w:val="28"/>
          <w:szCs w:val="28"/>
        </w:rPr>
        <w:t>67</w:t>
      </w:r>
      <w:r w:rsidRPr="00C43BE8">
        <w:rPr>
          <w:sz w:val="28"/>
          <w:szCs w:val="28"/>
        </w:rPr>
        <w:t xml:space="preserve"> </w:t>
      </w:r>
      <w:proofErr w:type="spellStart"/>
      <w:r w:rsidRPr="00C43BE8">
        <w:rPr>
          <w:i/>
          <w:sz w:val="28"/>
          <w:szCs w:val="28"/>
        </w:rPr>
        <w:t>euro</w:t>
      </w:r>
      <w:proofErr w:type="spellEnd"/>
      <w:r w:rsidRPr="00C43BE8">
        <w:rPr>
          <w:sz w:val="28"/>
          <w:szCs w:val="28"/>
        </w:rPr>
        <w:t xml:space="preserve">), tad šāds apmērs ir ekvivalents neapliekamajam minimumam </w:t>
      </w:r>
      <w:r w:rsidRPr="00C43BE8">
        <w:rPr>
          <w:b/>
          <w:sz w:val="28"/>
          <w:szCs w:val="28"/>
        </w:rPr>
        <w:t>9</w:t>
      </w:r>
      <w:r>
        <w:rPr>
          <w:b/>
          <w:sz w:val="28"/>
          <w:szCs w:val="28"/>
        </w:rPr>
        <w:t>7</w:t>
      </w:r>
      <w:r w:rsidRPr="00C43BE8">
        <w:rPr>
          <w:b/>
          <w:sz w:val="28"/>
          <w:szCs w:val="28"/>
        </w:rPr>
        <w:t xml:space="preserve"> </w:t>
      </w:r>
      <w:proofErr w:type="spellStart"/>
      <w:r w:rsidRPr="00C43BE8">
        <w:rPr>
          <w:b/>
          <w:i/>
          <w:sz w:val="28"/>
          <w:szCs w:val="28"/>
        </w:rPr>
        <w:t>euro</w:t>
      </w:r>
      <w:proofErr w:type="spellEnd"/>
      <w:r w:rsidRPr="00C43BE8">
        <w:rPr>
          <w:b/>
          <w:sz w:val="28"/>
          <w:szCs w:val="28"/>
        </w:rPr>
        <w:t xml:space="preserve"> apmērā (ja iedzīvotāju ienākuma nodoklis samazinās no 2</w:t>
      </w:r>
      <w:r>
        <w:rPr>
          <w:b/>
          <w:sz w:val="28"/>
          <w:szCs w:val="28"/>
        </w:rPr>
        <w:t>3</w:t>
      </w:r>
      <w:r w:rsidRPr="00C43BE8">
        <w:rPr>
          <w:b/>
          <w:sz w:val="28"/>
          <w:szCs w:val="28"/>
        </w:rPr>
        <w:t>% uz 2</w:t>
      </w:r>
      <w:r>
        <w:rPr>
          <w:b/>
          <w:sz w:val="28"/>
          <w:szCs w:val="28"/>
        </w:rPr>
        <w:t>2</w:t>
      </w:r>
      <w:r w:rsidRPr="00C43BE8">
        <w:rPr>
          <w:b/>
          <w:sz w:val="28"/>
          <w:szCs w:val="28"/>
        </w:rPr>
        <w:t>%)</w:t>
      </w:r>
      <w:r w:rsidRPr="00C43BE8">
        <w:rPr>
          <w:sz w:val="28"/>
          <w:szCs w:val="28"/>
        </w:rPr>
        <w:t>.</w:t>
      </w:r>
    </w:p>
    <w:p w:rsidR="00A55D22" w:rsidRPr="00C43BE8" w:rsidRDefault="00A55D22" w:rsidP="00A55D22">
      <w:pPr>
        <w:ind w:firstLine="720"/>
        <w:jc w:val="both"/>
        <w:rPr>
          <w:sz w:val="28"/>
          <w:szCs w:val="28"/>
        </w:rPr>
      </w:pPr>
      <w:r w:rsidRPr="00C43BE8">
        <w:rPr>
          <w:sz w:val="28"/>
          <w:szCs w:val="28"/>
        </w:rPr>
        <w:t>Piedāvājot paaugstināt minimālo mēneša darba algu, vienlaicīgi jāanalizē obligāto valsts sociālās apdrošināšanas iemaksu apmērs, lai nesamērīgi nepalielinātu darbaspēka izmaksas. Savukārt, palielinot neapliekamo minimumu, jāanalizē iedzīvotāju ienākumu nodokļa pārdale starp valsti un pašvaldībām.</w:t>
      </w:r>
    </w:p>
    <w:p w:rsidR="003E3D46" w:rsidRPr="00C43BE8" w:rsidRDefault="003E3D46" w:rsidP="003E3D46">
      <w:pPr>
        <w:ind w:right="-109" w:firstLine="720"/>
        <w:jc w:val="both"/>
        <w:rPr>
          <w:sz w:val="28"/>
          <w:szCs w:val="28"/>
        </w:rPr>
      </w:pPr>
      <w:r w:rsidRPr="00C43BE8">
        <w:rPr>
          <w:sz w:val="28"/>
          <w:szCs w:val="28"/>
        </w:rPr>
        <w:t xml:space="preserve">Tomēr būtisks </w:t>
      </w:r>
      <w:r w:rsidR="00AE47B6" w:rsidRPr="00C43BE8">
        <w:rPr>
          <w:sz w:val="28"/>
          <w:szCs w:val="28"/>
        </w:rPr>
        <w:t xml:space="preserve">neto </w:t>
      </w:r>
      <w:r w:rsidRPr="00C43BE8">
        <w:rPr>
          <w:sz w:val="28"/>
          <w:szCs w:val="28"/>
        </w:rPr>
        <w:t xml:space="preserve">minimālās </w:t>
      </w:r>
      <w:r w:rsidR="00AE47B6" w:rsidRPr="00C43BE8">
        <w:rPr>
          <w:sz w:val="28"/>
          <w:szCs w:val="28"/>
        </w:rPr>
        <w:t xml:space="preserve">mēneša darba </w:t>
      </w:r>
      <w:r w:rsidRPr="00C43BE8">
        <w:rPr>
          <w:sz w:val="28"/>
          <w:szCs w:val="28"/>
        </w:rPr>
        <w:t xml:space="preserve">algas pieaugums ir iespējams, ja paaugstina gan </w:t>
      </w:r>
      <w:r w:rsidR="00AE47B6" w:rsidRPr="00C43BE8">
        <w:rPr>
          <w:sz w:val="28"/>
          <w:szCs w:val="28"/>
        </w:rPr>
        <w:t xml:space="preserve">bruto </w:t>
      </w:r>
      <w:r w:rsidRPr="00C43BE8">
        <w:rPr>
          <w:sz w:val="28"/>
          <w:szCs w:val="28"/>
        </w:rPr>
        <w:t xml:space="preserve">minimālo </w:t>
      </w:r>
      <w:r w:rsidR="00AE47B6" w:rsidRPr="00C43BE8">
        <w:rPr>
          <w:sz w:val="28"/>
          <w:szCs w:val="28"/>
        </w:rPr>
        <w:t xml:space="preserve">mēneša darba </w:t>
      </w:r>
      <w:r w:rsidRPr="00C43BE8">
        <w:rPr>
          <w:sz w:val="28"/>
          <w:szCs w:val="28"/>
        </w:rPr>
        <w:t>algu, gan neapliekamo minimumu.</w:t>
      </w:r>
    </w:p>
    <w:p w:rsidR="00F60F8D" w:rsidRPr="00C43BE8" w:rsidRDefault="00F60F8D" w:rsidP="00F60F8D">
      <w:pPr>
        <w:autoSpaceDE w:val="0"/>
        <w:autoSpaceDN w:val="0"/>
        <w:adjustRightInd w:val="0"/>
        <w:ind w:firstLine="720"/>
        <w:jc w:val="both"/>
        <w:rPr>
          <w:sz w:val="28"/>
          <w:szCs w:val="28"/>
        </w:rPr>
      </w:pPr>
      <w:r w:rsidRPr="00C43BE8">
        <w:rPr>
          <w:sz w:val="28"/>
          <w:szCs w:val="28"/>
        </w:rPr>
        <w:t xml:space="preserve">Saskaņā ar Valsts sociālās apdrošināšanas aģentūras sniegtajiem datiem 2014.gada </w:t>
      </w:r>
      <w:r w:rsidR="00441AF3">
        <w:rPr>
          <w:sz w:val="28"/>
          <w:szCs w:val="28"/>
        </w:rPr>
        <w:t>4.ceturksnī</w:t>
      </w:r>
      <w:r w:rsidRPr="00C43BE8">
        <w:rPr>
          <w:sz w:val="28"/>
          <w:szCs w:val="28"/>
        </w:rPr>
        <w:t xml:space="preserve">, salīdzinot ar 2013.gada 4.ceturksni, ir pieaudzis to </w:t>
      </w:r>
      <w:r w:rsidR="00577B46" w:rsidRPr="00C43BE8">
        <w:rPr>
          <w:sz w:val="28"/>
          <w:szCs w:val="28"/>
        </w:rPr>
        <w:t>darba ņēmēju</w:t>
      </w:r>
      <w:r w:rsidRPr="00C43BE8">
        <w:rPr>
          <w:sz w:val="28"/>
          <w:szCs w:val="28"/>
        </w:rPr>
        <w:t xml:space="preserve"> skaits, kuriem no darba ienākumiem tiek veiktas valsts sociālās apdrošināšanas obligātās iemaksas vidēji no 0,01 </w:t>
      </w:r>
      <w:proofErr w:type="spellStart"/>
      <w:r w:rsidRPr="00C43BE8">
        <w:rPr>
          <w:i/>
          <w:sz w:val="28"/>
          <w:szCs w:val="28"/>
        </w:rPr>
        <w:t>euro</w:t>
      </w:r>
      <w:proofErr w:type="spellEnd"/>
      <w:r w:rsidRPr="00C43BE8">
        <w:rPr>
          <w:sz w:val="28"/>
          <w:szCs w:val="28"/>
        </w:rPr>
        <w:t xml:space="preserve"> līdz 320 </w:t>
      </w:r>
      <w:proofErr w:type="spellStart"/>
      <w:r w:rsidRPr="00C43BE8">
        <w:rPr>
          <w:i/>
          <w:sz w:val="28"/>
          <w:szCs w:val="28"/>
        </w:rPr>
        <w:t>euro</w:t>
      </w:r>
      <w:proofErr w:type="spellEnd"/>
      <w:r w:rsidRPr="00C43BE8">
        <w:rPr>
          <w:sz w:val="28"/>
          <w:szCs w:val="28"/>
        </w:rPr>
        <w:t xml:space="preserve"> apmērā (minimālās mēneša darba algas apmērā) (skat. </w:t>
      </w:r>
      <w:r w:rsidR="0021399A" w:rsidRPr="00C43BE8">
        <w:rPr>
          <w:sz w:val="28"/>
          <w:szCs w:val="28"/>
        </w:rPr>
        <w:t>4</w:t>
      </w:r>
      <w:r w:rsidRPr="00C43BE8">
        <w:rPr>
          <w:sz w:val="28"/>
          <w:szCs w:val="28"/>
        </w:rPr>
        <w:t xml:space="preserve">.tabulu). 2014.gada </w:t>
      </w:r>
      <w:r w:rsidR="00441AF3">
        <w:rPr>
          <w:sz w:val="28"/>
          <w:szCs w:val="28"/>
        </w:rPr>
        <w:t>4.ceturksnī</w:t>
      </w:r>
      <w:r w:rsidRPr="00C43BE8">
        <w:rPr>
          <w:sz w:val="28"/>
          <w:szCs w:val="28"/>
        </w:rPr>
        <w:t xml:space="preserve"> sadalījumā pēc dzimumiem, nodarbināto sieviešu īpatsvars, kurām no darba ienākumiem tiek veiktas valsts sociālās apdrošināšanas obligātās iemaksas vidēji no 0,01 </w:t>
      </w:r>
      <w:proofErr w:type="spellStart"/>
      <w:r w:rsidRPr="00C43BE8">
        <w:rPr>
          <w:i/>
          <w:sz w:val="28"/>
          <w:szCs w:val="28"/>
        </w:rPr>
        <w:t>euro</w:t>
      </w:r>
      <w:proofErr w:type="spellEnd"/>
      <w:r w:rsidRPr="00C43BE8">
        <w:rPr>
          <w:sz w:val="28"/>
          <w:szCs w:val="28"/>
        </w:rPr>
        <w:t xml:space="preserve"> līdz 320 </w:t>
      </w:r>
      <w:proofErr w:type="spellStart"/>
      <w:r w:rsidRPr="00C43BE8">
        <w:rPr>
          <w:i/>
          <w:sz w:val="28"/>
          <w:szCs w:val="28"/>
        </w:rPr>
        <w:t>euro</w:t>
      </w:r>
      <w:proofErr w:type="spellEnd"/>
      <w:r w:rsidRPr="00C43BE8">
        <w:rPr>
          <w:sz w:val="28"/>
          <w:szCs w:val="28"/>
        </w:rPr>
        <w:t xml:space="preserve"> apmērā, sastāda 51,</w:t>
      </w:r>
      <w:r w:rsidR="00441AF3">
        <w:rPr>
          <w:sz w:val="28"/>
          <w:szCs w:val="28"/>
        </w:rPr>
        <w:t>5</w:t>
      </w:r>
      <w:r w:rsidRPr="00C43BE8">
        <w:rPr>
          <w:sz w:val="28"/>
          <w:szCs w:val="28"/>
        </w:rPr>
        <w:t>% un nodarbināto vīriešu īpatsvars – 48,</w:t>
      </w:r>
      <w:r w:rsidR="00441AF3">
        <w:rPr>
          <w:sz w:val="28"/>
          <w:szCs w:val="28"/>
        </w:rPr>
        <w:t>5</w:t>
      </w:r>
      <w:r w:rsidRPr="00C43BE8">
        <w:rPr>
          <w:sz w:val="28"/>
          <w:szCs w:val="28"/>
        </w:rPr>
        <w:t>%.</w:t>
      </w:r>
    </w:p>
    <w:p w:rsidR="00F60F8D" w:rsidRPr="00C43BE8" w:rsidRDefault="00F60F8D" w:rsidP="00F60F8D">
      <w:pPr>
        <w:autoSpaceDE w:val="0"/>
        <w:autoSpaceDN w:val="0"/>
        <w:adjustRightInd w:val="0"/>
        <w:jc w:val="both"/>
        <w:rPr>
          <w:sz w:val="28"/>
          <w:szCs w:val="28"/>
        </w:rPr>
      </w:pPr>
    </w:p>
    <w:p w:rsidR="00F60F8D" w:rsidRPr="00C43BE8" w:rsidRDefault="0021399A" w:rsidP="00F60F8D">
      <w:pPr>
        <w:autoSpaceDE w:val="0"/>
        <w:autoSpaceDN w:val="0"/>
        <w:adjustRightInd w:val="0"/>
        <w:jc w:val="right"/>
        <w:rPr>
          <w:sz w:val="28"/>
          <w:szCs w:val="28"/>
        </w:rPr>
      </w:pPr>
      <w:r w:rsidRPr="00C43BE8">
        <w:rPr>
          <w:sz w:val="28"/>
          <w:szCs w:val="28"/>
        </w:rPr>
        <w:t>4</w:t>
      </w:r>
      <w:r w:rsidR="00F60F8D" w:rsidRPr="00C43BE8">
        <w:rPr>
          <w:sz w:val="28"/>
          <w:szCs w:val="28"/>
        </w:rPr>
        <w:t>.tabula</w:t>
      </w:r>
    </w:p>
    <w:p w:rsidR="00F60F8D" w:rsidRPr="00C43BE8" w:rsidRDefault="00F60F8D" w:rsidP="00710541">
      <w:pPr>
        <w:autoSpaceDE w:val="0"/>
        <w:autoSpaceDN w:val="0"/>
        <w:adjustRightInd w:val="0"/>
        <w:rPr>
          <w:sz w:val="28"/>
          <w:szCs w:val="28"/>
        </w:rPr>
      </w:pPr>
    </w:p>
    <w:p w:rsidR="0076772A" w:rsidRPr="00C43BE8" w:rsidRDefault="0076772A" w:rsidP="0076772A">
      <w:pPr>
        <w:autoSpaceDE w:val="0"/>
        <w:autoSpaceDN w:val="0"/>
        <w:adjustRightInd w:val="0"/>
        <w:jc w:val="center"/>
        <w:rPr>
          <w:b/>
        </w:rPr>
      </w:pPr>
      <w:r w:rsidRPr="00C43BE8">
        <w:rPr>
          <w:b/>
        </w:rPr>
        <w:t>Obligāti sociāl</w:t>
      </w:r>
      <w:r>
        <w:rPr>
          <w:b/>
        </w:rPr>
        <w:t>i</w:t>
      </w:r>
      <w:r w:rsidRPr="00C43BE8">
        <w:rPr>
          <w:b/>
        </w:rPr>
        <w:t xml:space="preserve"> apdrošinā</w:t>
      </w:r>
      <w:r>
        <w:rPr>
          <w:b/>
        </w:rPr>
        <w:t>tās</w:t>
      </w:r>
      <w:r w:rsidRPr="00C43BE8">
        <w:rPr>
          <w:b/>
        </w:rPr>
        <w:t xml:space="preserve"> personas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689"/>
        <w:gridCol w:w="1133"/>
        <w:gridCol w:w="1129"/>
        <w:gridCol w:w="1092"/>
      </w:tblGrid>
      <w:tr w:rsidR="00F60F8D" w:rsidRPr="00C43BE8" w:rsidTr="009E66F5">
        <w:tc>
          <w:tcPr>
            <w:tcW w:w="1244" w:type="dxa"/>
            <w:shd w:val="clear" w:color="auto" w:fill="auto"/>
          </w:tcPr>
          <w:p w:rsidR="00F60F8D" w:rsidRPr="00C43BE8" w:rsidRDefault="00F60F8D" w:rsidP="00C67323">
            <w:pPr>
              <w:autoSpaceDE w:val="0"/>
              <w:autoSpaceDN w:val="0"/>
              <w:adjustRightInd w:val="0"/>
              <w:rPr>
                <w:b/>
              </w:rPr>
            </w:pPr>
          </w:p>
        </w:tc>
        <w:tc>
          <w:tcPr>
            <w:tcW w:w="4689" w:type="dxa"/>
            <w:shd w:val="clear" w:color="auto" w:fill="auto"/>
          </w:tcPr>
          <w:p w:rsidR="00F60F8D" w:rsidRPr="00C43BE8" w:rsidRDefault="00F60F8D" w:rsidP="00C67323">
            <w:pPr>
              <w:autoSpaceDE w:val="0"/>
              <w:autoSpaceDN w:val="0"/>
              <w:adjustRightInd w:val="0"/>
              <w:rPr>
                <w:b/>
              </w:rPr>
            </w:pPr>
          </w:p>
        </w:tc>
        <w:tc>
          <w:tcPr>
            <w:tcW w:w="1133" w:type="dxa"/>
            <w:shd w:val="clear" w:color="auto" w:fill="auto"/>
          </w:tcPr>
          <w:p w:rsidR="00F60F8D" w:rsidRPr="00C43BE8" w:rsidRDefault="00F60F8D" w:rsidP="00C67323">
            <w:pPr>
              <w:autoSpaceDE w:val="0"/>
              <w:autoSpaceDN w:val="0"/>
              <w:adjustRightInd w:val="0"/>
              <w:jc w:val="center"/>
              <w:rPr>
                <w:b/>
              </w:rPr>
            </w:pPr>
            <w:r w:rsidRPr="00C43BE8">
              <w:rPr>
                <w:b/>
              </w:rPr>
              <w:t>Sievietes</w:t>
            </w:r>
          </w:p>
        </w:tc>
        <w:tc>
          <w:tcPr>
            <w:tcW w:w="1129" w:type="dxa"/>
            <w:shd w:val="clear" w:color="auto" w:fill="auto"/>
          </w:tcPr>
          <w:p w:rsidR="00F60F8D" w:rsidRPr="00C43BE8" w:rsidRDefault="00F60F8D" w:rsidP="00C67323">
            <w:pPr>
              <w:autoSpaceDE w:val="0"/>
              <w:autoSpaceDN w:val="0"/>
              <w:adjustRightInd w:val="0"/>
              <w:jc w:val="center"/>
              <w:rPr>
                <w:b/>
              </w:rPr>
            </w:pPr>
            <w:r w:rsidRPr="00C43BE8">
              <w:rPr>
                <w:b/>
              </w:rPr>
              <w:t>Vīrieši</w:t>
            </w:r>
          </w:p>
        </w:tc>
        <w:tc>
          <w:tcPr>
            <w:tcW w:w="1092" w:type="dxa"/>
            <w:shd w:val="clear" w:color="auto" w:fill="auto"/>
          </w:tcPr>
          <w:p w:rsidR="00F60F8D" w:rsidRPr="00C43BE8" w:rsidRDefault="00F60F8D" w:rsidP="00C67323">
            <w:pPr>
              <w:autoSpaceDE w:val="0"/>
              <w:autoSpaceDN w:val="0"/>
              <w:adjustRightInd w:val="0"/>
              <w:jc w:val="center"/>
              <w:rPr>
                <w:b/>
              </w:rPr>
            </w:pPr>
            <w:r w:rsidRPr="00C43BE8">
              <w:rPr>
                <w:b/>
              </w:rPr>
              <w:t>Kopā</w:t>
            </w:r>
          </w:p>
        </w:tc>
      </w:tr>
      <w:tr w:rsidR="00992806" w:rsidRPr="00C43BE8" w:rsidTr="009E66F5">
        <w:tc>
          <w:tcPr>
            <w:tcW w:w="1244" w:type="dxa"/>
            <w:vMerge w:val="restart"/>
            <w:shd w:val="clear" w:color="auto" w:fill="auto"/>
          </w:tcPr>
          <w:p w:rsidR="00992806" w:rsidRPr="00C43BE8" w:rsidRDefault="00992806" w:rsidP="00F90926">
            <w:pPr>
              <w:autoSpaceDE w:val="0"/>
              <w:autoSpaceDN w:val="0"/>
              <w:adjustRightInd w:val="0"/>
              <w:jc w:val="center"/>
              <w:rPr>
                <w:b/>
                <w:sz w:val="20"/>
                <w:szCs w:val="20"/>
              </w:rPr>
            </w:pPr>
            <w:r w:rsidRPr="00C43BE8">
              <w:rPr>
                <w:b/>
                <w:bCs/>
                <w:sz w:val="20"/>
                <w:szCs w:val="20"/>
              </w:rPr>
              <w:t>201</w:t>
            </w:r>
            <w:r>
              <w:rPr>
                <w:b/>
                <w:bCs/>
                <w:sz w:val="20"/>
                <w:szCs w:val="20"/>
              </w:rPr>
              <w:t>4</w:t>
            </w:r>
            <w:r w:rsidRPr="00C43BE8">
              <w:rPr>
                <w:b/>
                <w:bCs/>
                <w:sz w:val="20"/>
                <w:szCs w:val="20"/>
              </w:rPr>
              <w:t>.gada 1.ceturksnis</w:t>
            </w: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b/>
                <w:bCs/>
                <w:sz w:val="20"/>
                <w:szCs w:val="20"/>
              </w:rPr>
              <w:t>kopā</w:t>
            </w:r>
          </w:p>
        </w:tc>
        <w:tc>
          <w:tcPr>
            <w:tcW w:w="1133" w:type="dxa"/>
            <w:shd w:val="clear" w:color="auto" w:fill="auto"/>
            <w:vAlign w:val="center"/>
          </w:tcPr>
          <w:p w:rsidR="00992806" w:rsidRPr="00C43BE8" w:rsidRDefault="00992806" w:rsidP="00F90926">
            <w:pPr>
              <w:jc w:val="right"/>
              <w:rPr>
                <w:b/>
                <w:bCs/>
                <w:sz w:val="20"/>
                <w:szCs w:val="20"/>
              </w:rPr>
            </w:pPr>
            <w:r w:rsidRPr="00C43BE8">
              <w:rPr>
                <w:b/>
                <w:bCs/>
                <w:sz w:val="20"/>
                <w:szCs w:val="20"/>
              </w:rPr>
              <w:t>4</w:t>
            </w:r>
            <w:r>
              <w:rPr>
                <w:b/>
                <w:bCs/>
                <w:sz w:val="20"/>
                <w:szCs w:val="20"/>
              </w:rPr>
              <w:t>47</w:t>
            </w:r>
            <w:r w:rsidRPr="00C43BE8">
              <w:rPr>
                <w:b/>
                <w:bCs/>
                <w:sz w:val="20"/>
                <w:szCs w:val="20"/>
              </w:rPr>
              <w:t xml:space="preserve"> </w:t>
            </w:r>
            <w:r>
              <w:rPr>
                <w:b/>
                <w:bCs/>
                <w:sz w:val="20"/>
                <w:szCs w:val="20"/>
              </w:rPr>
              <w:t>248</w:t>
            </w:r>
          </w:p>
        </w:tc>
        <w:tc>
          <w:tcPr>
            <w:tcW w:w="1129" w:type="dxa"/>
            <w:shd w:val="clear" w:color="auto" w:fill="auto"/>
            <w:vAlign w:val="center"/>
          </w:tcPr>
          <w:p w:rsidR="00992806" w:rsidRPr="00C43BE8" w:rsidRDefault="00992806" w:rsidP="00F90926">
            <w:pPr>
              <w:jc w:val="right"/>
              <w:rPr>
                <w:b/>
                <w:bCs/>
                <w:sz w:val="20"/>
                <w:szCs w:val="20"/>
              </w:rPr>
            </w:pPr>
            <w:r w:rsidRPr="00C43BE8">
              <w:rPr>
                <w:b/>
                <w:bCs/>
                <w:sz w:val="20"/>
                <w:szCs w:val="20"/>
              </w:rPr>
              <w:t>4</w:t>
            </w:r>
            <w:r>
              <w:rPr>
                <w:b/>
                <w:bCs/>
                <w:sz w:val="20"/>
                <w:szCs w:val="20"/>
              </w:rPr>
              <w:t>13</w:t>
            </w:r>
            <w:r w:rsidRPr="00C43BE8">
              <w:rPr>
                <w:b/>
                <w:bCs/>
                <w:sz w:val="20"/>
                <w:szCs w:val="20"/>
              </w:rPr>
              <w:t xml:space="preserve"> </w:t>
            </w:r>
            <w:r>
              <w:rPr>
                <w:b/>
                <w:bCs/>
                <w:sz w:val="20"/>
                <w:szCs w:val="20"/>
              </w:rPr>
              <w:t>730</w:t>
            </w:r>
          </w:p>
        </w:tc>
        <w:tc>
          <w:tcPr>
            <w:tcW w:w="1092" w:type="dxa"/>
            <w:shd w:val="clear" w:color="auto" w:fill="auto"/>
            <w:vAlign w:val="center"/>
          </w:tcPr>
          <w:p w:rsidR="00992806" w:rsidRPr="00C43BE8" w:rsidRDefault="00992806" w:rsidP="00F90926">
            <w:pPr>
              <w:jc w:val="right"/>
              <w:rPr>
                <w:b/>
                <w:bCs/>
                <w:sz w:val="20"/>
                <w:szCs w:val="20"/>
              </w:rPr>
            </w:pPr>
            <w:r w:rsidRPr="00C43BE8">
              <w:rPr>
                <w:b/>
                <w:bCs/>
                <w:sz w:val="20"/>
                <w:szCs w:val="20"/>
              </w:rPr>
              <w:t>8</w:t>
            </w:r>
            <w:r>
              <w:rPr>
                <w:b/>
                <w:bCs/>
                <w:sz w:val="20"/>
                <w:szCs w:val="20"/>
              </w:rPr>
              <w:t>60</w:t>
            </w:r>
            <w:r w:rsidRPr="00C43BE8">
              <w:rPr>
                <w:b/>
                <w:bCs/>
                <w:sz w:val="20"/>
                <w:szCs w:val="20"/>
              </w:rPr>
              <w:t xml:space="preserve"> </w:t>
            </w:r>
            <w:r>
              <w:rPr>
                <w:b/>
                <w:bCs/>
                <w:sz w:val="20"/>
                <w:szCs w:val="20"/>
              </w:rPr>
              <w:t>978</w:t>
            </w:r>
          </w:p>
        </w:tc>
      </w:tr>
      <w:tr w:rsidR="00992806" w:rsidRPr="00C43BE8" w:rsidTr="009E66F5">
        <w:tc>
          <w:tcPr>
            <w:tcW w:w="1244" w:type="dxa"/>
            <w:vMerge/>
            <w:shd w:val="clear" w:color="auto" w:fill="auto"/>
          </w:tcPr>
          <w:p w:rsidR="00992806" w:rsidRPr="00C43BE8" w:rsidRDefault="00992806" w:rsidP="00C67323">
            <w:pPr>
              <w:autoSpaceDE w:val="0"/>
              <w:autoSpaceDN w:val="0"/>
              <w:adjustRightInd w:val="0"/>
              <w:rPr>
                <w:b/>
                <w:sz w:val="20"/>
                <w:szCs w:val="20"/>
              </w:rPr>
            </w:pPr>
          </w:p>
        </w:tc>
        <w:tc>
          <w:tcPr>
            <w:tcW w:w="4689" w:type="dxa"/>
            <w:shd w:val="clear" w:color="auto" w:fill="auto"/>
          </w:tcPr>
          <w:p w:rsidR="00992806" w:rsidRPr="00C43BE8" w:rsidRDefault="00992806" w:rsidP="00C67323">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proofErr w:type="spellStart"/>
            <w:r w:rsidRPr="00C43BE8">
              <w:rPr>
                <w:b/>
                <w:bCs/>
                <w:sz w:val="20"/>
                <w:szCs w:val="20"/>
              </w:rPr>
              <w:t>euro</w:t>
            </w:r>
            <w:proofErr w:type="spellEnd"/>
          </w:p>
        </w:tc>
        <w:tc>
          <w:tcPr>
            <w:tcW w:w="1133" w:type="dxa"/>
            <w:shd w:val="clear" w:color="auto" w:fill="auto"/>
            <w:vAlign w:val="center"/>
          </w:tcPr>
          <w:p w:rsidR="00992806" w:rsidRPr="00C43BE8" w:rsidRDefault="00992806" w:rsidP="00C67323">
            <w:pPr>
              <w:jc w:val="right"/>
              <w:rPr>
                <w:sz w:val="20"/>
                <w:szCs w:val="20"/>
              </w:rPr>
            </w:pPr>
            <w:r w:rsidRPr="00C43BE8">
              <w:rPr>
                <w:sz w:val="20"/>
                <w:szCs w:val="20"/>
              </w:rPr>
              <w:t>2</w:t>
            </w:r>
            <w:r>
              <w:rPr>
                <w:sz w:val="20"/>
                <w:szCs w:val="20"/>
              </w:rPr>
              <w:t>4</w:t>
            </w:r>
            <w:r w:rsidRPr="00C43BE8">
              <w:rPr>
                <w:sz w:val="20"/>
                <w:szCs w:val="20"/>
              </w:rPr>
              <w:t xml:space="preserve"> </w:t>
            </w:r>
            <w:r>
              <w:rPr>
                <w:sz w:val="20"/>
                <w:szCs w:val="20"/>
              </w:rPr>
              <w:t>137</w:t>
            </w:r>
          </w:p>
        </w:tc>
        <w:tc>
          <w:tcPr>
            <w:tcW w:w="1129" w:type="dxa"/>
            <w:shd w:val="clear" w:color="auto" w:fill="auto"/>
            <w:vAlign w:val="center"/>
          </w:tcPr>
          <w:p w:rsidR="00992806" w:rsidRPr="00C43BE8" w:rsidRDefault="00992806" w:rsidP="00C67323">
            <w:pPr>
              <w:jc w:val="right"/>
              <w:rPr>
                <w:sz w:val="20"/>
                <w:szCs w:val="20"/>
              </w:rPr>
            </w:pPr>
            <w:r w:rsidRPr="00C43BE8">
              <w:rPr>
                <w:sz w:val="20"/>
                <w:szCs w:val="20"/>
              </w:rPr>
              <w:t>1</w:t>
            </w:r>
            <w:r>
              <w:rPr>
                <w:sz w:val="20"/>
                <w:szCs w:val="20"/>
              </w:rPr>
              <w:t>4</w:t>
            </w:r>
            <w:r w:rsidRPr="00C43BE8">
              <w:rPr>
                <w:sz w:val="20"/>
                <w:szCs w:val="20"/>
              </w:rPr>
              <w:t xml:space="preserve"> </w:t>
            </w:r>
            <w:r>
              <w:rPr>
                <w:sz w:val="20"/>
                <w:szCs w:val="20"/>
              </w:rPr>
              <w:t>985</w:t>
            </w:r>
          </w:p>
        </w:tc>
        <w:tc>
          <w:tcPr>
            <w:tcW w:w="1092" w:type="dxa"/>
            <w:shd w:val="clear" w:color="auto" w:fill="auto"/>
            <w:vAlign w:val="center"/>
          </w:tcPr>
          <w:p w:rsidR="00992806" w:rsidRPr="00C43BE8" w:rsidRDefault="00992806" w:rsidP="00C67323">
            <w:pPr>
              <w:jc w:val="right"/>
              <w:rPr>
                <w:sz w:val="20"/>
                <w:szCs w:val="20"/>
              </w:rPr>
            </w:pPr>
            <w:r>
              <w:rPr>
                <w:sz w:val="20"/>
                <w:szCs w:val="20"/>
              </w:rPr>
              <w:t>39</w:t>
            </w:r>
            <w:r w:rsidRPr="00C43BE8">
              <w:rPr>
                <w:sz w:val="20"/>
                <w:szCs w:val="20"/>
              </w:rPr>
              <w:t xml:space="preserve"> </w:t>
            </w:r>
            <w:r>
              <w:rPr>
                <w:sz w:val="20"/>
                <w:szCs w:val="20"/>
              </w:rPr>
              <w:t>122</w:t>
            </w:r>
          </w:p>
        </w:tc>
      </w:tr>
      <w:tr w:rsidR="00992806" w:rsidRPr="00C43BE8" w:rsidTr="009E66F5">
        <w:tc>
          <w:tcPr>
            <w:tcW w:w="1244" w:type="dxa"/>
            <w:vMerge/>
            <w:shd w:val="clear" w:color="auto" w:fill="auto"/>
          </w:tcPr>
          <w:p w:rsidR="00992806" w:rsidRPr="00C43BE8" w:rsidRDefault="00992806" w:rsidP="00C67323">
            <w:pPr>
              <w:autoSpaceDE w:val="0"/>
              <w:autoSpaceDN w:val="0"/>
              <w:adjustRightInd w:val="0"/>
              <w:rPr>
                <w:b/>
                <w:sz w:val="20"/>
                <w:szCs w:val="20"/>
              </w:rPr>
            </w:pPr>
          </w:p>
        </w:tc>
        <w:tc>
          <w:tcPr>
            <w:tcW w:w="4689" w:type="dxa"/>
            <w:shd w:val="clear" w:color="auto" w:fill="auto"/>
          </w:tcPr>
          <w:p w:rsidR="00992806" w:rsidRPr="00C43BE8" w:rsidRDefault="00992806" w:rsidP="009E66F5">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 xml:space="preserve">0,01 - </w:t>
            </w:r>
            <w:r>
              <w:rPr>
                <w:b/>
                <w:bCs/>
                <w:sz w:val="20"/>
                <w:szCs w:val="20"/>
              </w:rPr>
              <w:t>320</w:t>
            </w:r>
            <w:r w:rsidRPr="00C43BE8">
              <w:rPr>
                <w:b/>
                <w:bCs/>
                <w:sz w:val="20"/>
                <w:szCs w:val="20"/>
              </w:rPr>
              <w:t xml:space="preserve"> </w:t>
            </w:r>
            <w:proofErr w:type="spellStart"/>
            <w:r w:rsidRPr="00C43BE8">
              <w:rPr>
                <w:b/>
                <w:bCs/>
                <w:sz w:val="20"/>
                <w:szCs w:val="20"/>
              </w:rPr>
              <w:t>euro</w:t>
            </w:r>
            <w:proofErr w:type="spellEnd"/>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3" w:type="dxa"/>
            <w:shd w:val="clear" w:color="auto" w:fill="auto"/>
            <w:vAlign w:val="center"/>
          </w:tcPr>
          <w:p w:rsidR="00992806" w:rsidRPr="00C43BE8" w:rsidRDefault="00992806" w:rsidP="00C67323">
            <w:pPr>
              <w:jc w:val="right"/>
              <w:rPr>
                <w:sz w:val="20"/>
                <w:szCs w:val="20"/>
              </w:rPr>
            </w:pPr>
            <w:r w:rsidRPr="00C43BE8">
              <w:rPr>
                <w:sz w:val="20"/>
                <w:szCs w:val="20"/>
              </w:rPr>
              <w:t>12</w:t>
            </w:r>
            <w:r>
              <w:rPr>
                <w:sz w:val="20"/>
                <w:szCs w:val="20"/>
              </w:rPr>
              <w:t>9</w:t>
            </w:r>
            <w:r w:rsidRPr="00C43BE8">
              <w:rPr>
                <w:sz w:val="20"/>
                <w:szCs w:val="20"/>
              </w:rPr>
              <w:t xml:space="preserve"> </w:t>
            </w:r>
            <w:r>
              <w:rPr>
                <w:sz w:val="20"/>
                <w:szCs w:val="20"/>
              </w:rPr>
              <w:t>274</w:t>
            </w:r>
          </w:p>
        </w:tc>
        <w:tc>
          <w:tcPr>
            <w:tcW w:w="1129" w:type="dxa"/>
            <w:shd w:val="clear" w:color="auto" w:fill="auto"/>
            <w:vAlign w:val="center"/>
          </w:tcPr>
          <w:p w:rsidR="00992806" w:rsidRPr="00C43BE8" w:rsidRDefault="00992806" w:rsidP="00C67323">
            <w:pPr>
              <w:jc w:val="right"/>
              <w:rPr>
                <w:sz w:val="20"/>
                <w:szCs w:val="20"/>
              </w:rPr>
            </w:pPr>
            <w:r w:rsidRPr="00C43BE8">
              <w:rPr>
                <w:sz w:val="20"/>
                <w:szCs w:val="20"/>
              </w:rPr>
              <w:t>12</w:t>
            </w:r>
            <w:r>
              <w:rPr>
                <w:sz w:val="20"/>
                <w:szCs w:val="20"/>
              </w:rPr>
              <w:t>3</w:t>
            </w:r>
            <w:r w:rsidRPr="00C43BE8">
              <w:rPr>
                <w:sz w:val="20"/>
                <w:szCs w:val="20"/>
              </w:rPr>
              <w:t xml:space="preserve"> </w:t>
            </w:r>
            <w:r>
              <w:rPr>
                <w:sz w:val="20"/>
                <w:szCs w:val="20"/>
              </w:rPr>
              <w:t>414</w:t>
            </w:r>
          </w:p>
        </w:tc>
        <w:tc>
          <w:tcPr>
            <w:tcW w:w="1092" w:type="dxa"/>
            <w:shd w:val="clear" w:color="auto" w:fill="auto"/>
            <w:vAlign w:val="center"/>
          </w:tcPr>
          <w:p w:rsidR="00992806" w:rsidRPr="00C43BE8" w:rsidRDefault="00992806" w:rsidP="00C67323">
            <w:pPr>
              <w:jc w:val="right"/>
              <w:rPr>
                <w:sz w:val="20"/>
                <w:szCs w:val="20"/>
              </w:rPr>
            </w:pPr>
            <w:r w:rsidRPr="00C43BE8">
              <w:rPr>
                <w:sz w:val="20"/>
                <w:szCs w:val="20"/>
              </w:rPr>
              <w:t>2</w:t>
            </w:r>
            <w:r>
              <w:rPr>
                <w:sz w:val="20"/>
                <w:szCs w:val="20"/>
              </w:rPr>
              <w:t>52</w:t>
            </w:r>
            <w:r w:rsidRPr="00C43BE8">
              <w:rPr>
                <w:sz w:val="20"/>
                <w:szCs w:val="20"/>
              </w:rPr>
              <w:t xml:space="preserve"> </w:t>
            </w:r>
            <w:r>
              <w:rPr>
                <w:sz w:val="20"/>
                <w:szCs w:val="20"/>
              </w:rPr>
              <w:t>688</w:t>
            </w:r>
          </w:p>
        </w:tc>
      </w:tr>
      <w:tr w:rsidR="00992806" w:rsidRPr="00C43BE8" w:rsidTr="009E66F5">
        <w:tc>
          <w:tcPr>
            <w:tcW w:w="1244" w:type="dxa"/>
            <w:vMerge w:val="restart"/>
            <w:shd w:val="clear" w:color="auto" w:fill="auto"/>
          </w:tcPr>
          <w:p w:rsidR="00992806" w:rsidRPr="00C43BE8" w:rsidRDefault="00992806" w:rsidP="00F90926">
            <w:pPr>
              <w:autoSpaceDE w:val="0"/>
              <w:autoSpaceDN w:val="0"/>
              <w:adjustRightInd w:val="0"/>
              <w:jc w:val="center"/>
              <w:rPr>
                <w:b/>
                <w:sz w:val="20"/>
                <w:szCs w:val="20"/>
              </w:rPr>
            </w:pPr>
            <w:r w:rsidRPr="00C43BE8">
              <w:rPr>
                <w:b/>
                <w:bCs/>
                <w:sz w:val="20"/>
                <w:szCs w:val="20"/>
              </w:rPr>
              <w:t>2013.gada 1.ceturksnis</w:t>
            </w: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b/>
                <w:bCs/>
                <w:sz w:val="20"/>
                <w:szCs w:val="20"/>
              </w:rPr>
              <w:t>kopā</w:t>
            </w:r>
          </w:p>
        </w:tc>
        <w:tc>
          <w:tcPr>
            <w:tcW w:w="1133" w:type="dxa"/>
            <w:shd w:val="clear" w:color="auto" w:fill="auto"/>
            <w:vAlign w:val="center"/>
          </w:tcPr>
          <w:p w:rsidR="00992806" w:rsidRPr="00C43BE8" w:rsidRDefault="00992806" w:rsidP="00F90926">
            <w:pPr>
              <w:jc w:val="right"/>
              <w:rPr>
                <w:b/>
                <w:bCs/>
                <w:sz w:val="20"/>
                <w:szCs w:val="20"/>
              </w:rPr>
            </w:pPr>
            <w:r w:rsidRPr="00C43BE8">
              <w:rPr>
                <w:b/>
                <w:bCs/>
                <w:sz w:val="20"/>
                <w:szCs w:val="20"/>
              </w:rPr>
              <w:t>439 846</w:t>
            </w:r>
          </w:p>
        </w:tc>
        <w:tc>
          <w:tcPr>
            <w:tcW w:w="1129" w:type="dxa"/>
            <w:shd w:val="clear" w:color="auto" w:fill="auto"/>
            <w:vAlign w:val="center"/>
          </w:tcPr>
          <w:p w:rsidR="00992806" w:rsidRPr="00C43BE8" w:rsidRDefault="00992806" w:rsidP="00F90926">
            <w:pPr>
              <w:jc w:val="right"/>
              <w:rPr>
                <w:b/>
                <w:bCs/>
                <w:sz w:val="20"/>
                <w:szCs w:val="20"/>
              </w:rPr>
            </w:pPr>
            <w:r w:rsidRPr="00C43BE8">
              <w:rPr>
                <w:b/>
                <w:bCs/>
                <w:sz w:val="20"/>
                <w:szCs w:val="20"/>
              </w:rPr>
              <w:t>403 874</w:t>
            </w:r>
          </w:p>
        </w:tc>
        <w:tc>
          <w:tcPr>
            <w:tcW w:w="1092" w:type="dxa"/>
            <w:shd w:val="clear" w:color="auto" w:fill="auto"/>
            <w:vAlign w:val="center"/>
          </w:tcPr>
          <w:p w:rsidR="00992806" w:rsidRPr="00C43BE8" w:rsidRDefault="00992806" w:rsidP="00F90926">
            <w:pPr>
              <w:jc w:val="right"/>
              <w:rPr>
                <w:b/>
                <w:bCs/>
                <w:sz w:val="20"/>
                <w:szCs w:val="20"/>
              </w:rPr>
            </w:pPr>
            <w:r w:rsidRPr="00C43BE8">
              <w:rPr>
                <w:b/>
                <w:bCs/>
                <w:sz w:val="20"/>
                <w:szCs w:val="20"/>
              </w:rPr>
              <w:t>843 720</w:t>
            </w:r>
          </w:p>
        </w:tc>
      </w:tr>
      <w:tr w:rsidR="00992806" w:rsidRPr="00C43BE8" w:rsidTr="009E66F5">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proofErr w:type="spellStart"/>
            <w:r w:rsidRPr="00C43BE8">
              <w:rPr>
                <w:b/>
                <w:bCs/>
                <w:sz w:val="20"/>
                <w:szCs w:val="20"/>
              </w:rPr>
              <w:t>euro</w:t>
            </w:r>
            <w:proofErr w:type="spellEnd"/>
          </w:p>
        </w:tc>
        <w:tc>
          <w:tcPr>
            <w:tcW w:w="1133" w:type="dxa"/>
            <w:shd w:val="clear" w:color="auto" w:fill="auto"/>
            <w:vAlign w:val="center"/>
          </w:tcPr>
          <w:p w:rsidR="00992806" w:rsidRPr="00C43BE8" w:rsidRDefault="00992806" w:rsidP="009E66F5">
            <w:pPr>
              <w:jc w:val="right"/>
              <w:rPr>
                <w:sz w:val="20"/>
                <w:szCs w:val="20"/>
              </w:rPr>
            </w:pPr>
            <w:r w:rsidRPr="00C43BE8">
              <w:rPr>
                <w:sz w:val="20"/>
                <w:szCs w:val="20"/>
              </w:rPr>
              <w:t>22 881</w:t>
            </w:r>
          </w:p>
        </w:tc>
        <w:tc>
          <w:tcPr>
            <w:tcW w:w="1129" w:type="dxa"/>
            <w:shd w:val="clear" w:color="auto" w:fill="auto"/>
            <w:vAlign w:val="center"/>
          </w:tcPr>
          <w:p w:rsidR="00992806" w:rsidRPr="00C43BE8" w:rsidRDefault="00992806" w:rsidP="009E66F5">
            <w:pPr>
              <w:jc w:val="right"/>
              <w:rPr>
                <w:sz w:val="20"/>
                <w:szCs w:val="20"/>
              </w:rPr>
            </w:pPr>
            <w:r w:rsidRPr="00C43BE8">
              <w:rPr>
                <w:sz w:val="20"/>
                <w:szCs w:val="20"/>
              </w:rPr>
              <w:t>15 528</w:t>
            </w:r>
          </w:p>
        </w:tc>
        <w:tc>
          <w:tcPr>
            <w:tcW w:w="1092" w:type="dxa"/>
            <w:shd w:val="clear" w:color="auto" w:fill="auto"/>
            <w:vAlign w:val="center"/>
          </w:tcPr>
          <w:p w:rsidR="00992806" w:rsidRPr="00C43BE8" w:rsidRDefault="00992806" w:rsidP="009E66F5">
            <w:pPr>
              <w:jc w:val="right"/>
              <w:rPr>
                <w:sz w:val="20"/>
                <w:szCs w:val="20"/>
              </w:rPr>
            </w:pPr>
            <w:r w:rsidRPr="00C43BE8">
              <w:rPr>
                <w:sz w:val="20"/>
                <w:szCs w:val="20"/>
              </w:rPr>
              <w:t>38 409</w:t>
            </w:r>
          </w:p>
        </w:tc>
      </w:tr>
      <w:tr w:rsidR="00992806" w:rsidRPr="00C43BE8" w:rsidTr="009E66F5">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tcPr>
          <w:p w:rsidR="00992806" w:rsidRPr="00C43BE8" w:rsidRDefault="00992806" w:rsidP="009E66F5">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0,01 - 284,58</w:t>
            </w:r>
            <w:r>
              <w:rPr>
                <w:b/>
                <w:bCs/>
                <w:sz w:val="20"/>
                <w:szCs w:val="20"/>
              </w:rPr>
              <w:t> </w:t>
            </w:r>
            <w:proofErr w:type="spellStart"/>
            <w:r w:rsidRPr="00C43BE8">
              <w:rPr>
                <w:b/>
                <w:bCs/>
                <w:sz w:val="20"/>
                <w:szCs w:val="20"/>
              </w:rPr>
              <w:t>euro</w:t>
            </w:r>
            <w:proofErr w:type="spellEnd"/>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3" w:type="dxa"/>
            <w:shd w:val="clear" w:color="auto" w:fill="auto"/>
            <w:vAlign w:val="center"/>
          </w:tcPr>
          <w:p w:rsidR="00992806" w:rsidRPr="00C43BE8" w:rsidRDefault="00992806" w:rsidP="009E66F5">
            <w:pPr>
              <w:jc w:val="right"/>
              <w:rPr>
                <w:sz w:val="20"/>
                <w:szCs w:val="20"/>
              </w:rPr>
            </w:pPr>
            <w:r w:rsidRPr="00C43BE8">
              <w:rPr>
                <w:sz w:val="20"/>
                <w:szCs w:val="20"/>
              </w:rPr>
              <w:t>125 982</w:t>
            </w:r>
          </w:p>
        </w:tc>
        <w:tc>
          <w:tcPr>
            <w:tcW w:w="1129" w:type="dxa"/>
            <w:shd w:val="clear" w:color="auto" w:fill="auto"/>
            <w:vAlign w:val="center"/>
          </w:tcPr>
          <w:p w:rsidR="00992806" w:rsidRPr="00C43BE8" w:rsidRDefault="00992806" w:rsidP="009E66F5">
            <w:pPr>
              <w:jc w:val="right"/>
              <w:rPr>
                <w:sz w:val="20"/>
                <w:szCs w:val="20"/>
              </w:rPr>
            </w:pPr>
            <w:r w:rsidRPr="00C43BE8">
              <w:rPr>
                <w:sz w:val="20"/>
                <w:szCs w:val="20"/>
              </w:rPr>
              <w:t>122 036</w:t>
            </w:r>
          </w:p>
        </w:tc>
        <w:tc>
          <w:tcPr>
            <w:tcW w:w="1092" w:type="dxa"/>
            <w:shd w:val="clear" w:color="auto" w:fill="auto"/>
            <w:vAlign w:val="center"/>
          </w:tcPr>
          <w:p w:rsidR="00992806" w:rsidRPr="00C43BE8" w:rsidRDefault="00992806" w:rsidP="009E66F5">
            <w:pPr>
              <w:jc w:val="right"/>
              <w:rPr>
                <w:sz w:val="20"/>
                <w:szCs w:val="20"/>
              </w:rPr>
            </w:pPr>
            <w:r w:rsidRPr="00C43BE8">
              <w:rPr>
                <w:sz w:val="20"/>
                <w:szCs w:val="20"/>
              </w:rPr>
              <w:t>248 018</w:t>
            </w:r>
          </w:p>
        </w:tc>
      </w:tr>
      <w:tr w:rsidR="00992806" w:rsidRPr="00C43BE8" w:rsidTr="00F90926">
        <w:tc>
          <w:tcPr>
            <w:tcW w:w="5933" w:type="dxa"/>
            <w:gridSpan w:val="2"/>
            <w:shd w:val="clear" w:color="auto" w:fill="auto"/>
          </w:tcPr>
          <w:p w:rsidR="00992806" w:rsidRPr="009E66F5" w:rsidRDefault="00992806" w:rsidP="009E66F5">
            <w:pPr>
              <w:autoSpaceDE w:val="0"/>
              <w:autoSpaceDN w:val="0"/>
              <w:adjustRightInd w:val="0"/>
              <w:jc w:val="right"/>
              <w:rPr>
                <w:b/>
                <w:i/>
                <w:sz w:val="20"/>
                <w:szCs w:val="20"/>
              </w:rPr>
            </w:pPr>
            <w:r w:rsidRPr="009E66F5">
              <w:rPr>
                <w:b/>
                <w:i/>
                <w:sz w:val="20"/>
                <w:szCs w:val="20"/>
              </w:rPr>
              <w:t>% kopā</w:t>
            </w:r>
          </w:p>
        </w:tc>
        <w:tc>
          <w:tcPr>
            <w:tcW w:w="1133" w:type="dxa"/>
            <w:shd w:val="clear" w:color="auto" w:fill="auto"/>
            <w:vAlign w:val="center"/>
          </w:tcPr>
          <w:p w:rsidR="00992806" w:rsidRPr="00992806" w:rsidRDefault="00992806" w:rsidP="009E66F5">
            <w:pPr>
              <w:jc w:val="right"/>
              <w:rPr>
                <w:b/>
                <w:i/>
                <w:sz w:val="20"/>
                <w:szCs w:val="20"/>
              </w:rPr>
            </w:pPr>
            <w:r w:rsidRPr="00992806">
              <w:rPr>
                <w:b/>
                <w:i/>
                <w:sz w:val="20"/>
                <w:szCs w:val="20"/>
              </w:rPr>
              <w:t>101,7</w:t>
            </w:r>
          </w:p>
        </w:tc>
        <w:tc>
          <w:tcPr>
            <w:tcW w:w="1129" w:type="dxa"/>
            <w:shd w:val="clear" w:color="auto" w:fill="auto"/>
            <w:vAlign w:val="center"/>
          </w:tcPr>
          <w:p w:rsidR="00992806" w:rsidRPr="00992806" w:rsidRDefault="00992806" w:rsidP="009E66F5">
            <w:pPr>
              <w:jc w:val="right"/>
              <w:rPr>
                <w:b/>
                <w:i/>
                <w:sz w:val="20"/>
                <w:szCs w:val="20"/>
              </w:rPr>
            </w:pPr>
            <w:r>
              <w:rPr>
                <w:b/>
                <w:i/>
                <w:sz w:val="20"/>
                <w:szCs w:val="20"/>
              </w:rPr>
              <w:t>102,4</w:t>
            </w:r>
          </w:p>
        </w:tc>
        <w:tc>
          <w:tcPr>
            <w:tcW w:w="1092" w:type="dxa"/>
            <w:shd w:val="clear" w:color="auto" w:fill="auto"/>
            <w:vAlign w:val="center"/>
          </w:tcPr>
          <w:p w:rsidR="00992806" w:rsidRPr="00992806" w:rsidRDefault="00992806" w:rsidP="009E66F5">
            <w:pPr>
              <w:jc w:val="right"/>
              <w:rPr>
                <w:b/>
                <w:i/>
                <w:sz w:val="20"/>
                <w:szCs w:val="20"/>
              </w:rPr>
            </w:pPr>
            <w:r>
              <w:rPr>
                <w:b/>
                <w:i/>
                <w:sz w:val="20"/>
                <w:szCs w:val="20"/>
              </w:rPr>
              <w:t>102,0</w:t>
            </w:r>
          </w:p>
        </w:tc>
      </w:tr>
      <w:tr w:rsidR="00992806" w:rsidRPr="00C43BE8" w:rsidTr="00F90926">
        <w:tc>
          <w:tcPr>
            <w:tcW w:w="1244" w:type="dxa"/>
            <w:vMerge w:val="restart"/>
            <w:shd w:val="clear" w:color="auto" w:fill="auto"/>
          </w:tcPr>
          <w:p w:rsidR="00992806" w:rsidRPr="00C43BE8" w:rsidRDefault="00992806" w:rsidP="00992806">
            <w:pPr>
              <w:autoSpaceDE w:val="0"/>
              <w:autoSpaceDN w:val="0"/>
              <w:adjustRightInd w:val="0"/>
              <w:jc w:val="center"/>
              <w:rPr>
                <w:b/>
                <w:sz w:val="20"/>
                <w:szCs w:val="20"/>
              </w:rPr>
            </w:pPr>
            <w:r w:rsidRPr="00C43BE8">
              <w:rPr>
                <w:b/>
                <w:bCs/>
                <w:sz w:val="20"/>
                <w:szCs w:val="20"/>
              </w:rPr>
              <w:t>201</w:t>
            </w:r>
            <w:r>
              <w:rPr>
                <w:b/>
                <w:bCs/>
                <w:sz w:val="20"/>
                <w:szCs w:val="20"/>
              </w:rPr>
              <w:t>4</w:t>
            </w:r>
            <w:r w:rsidRPr="00C43BE8">
              <w:rPr>
                <w:b/>
                <w:bCs/>
                <w:sz w:val="20"/>
                <w:szCs w:val="20"/>
              </w:rPr>
              <w:t xml:space="preserve">.gada </w:t>
            </w:r>
            <w:r>
              <w:rPr>
                <w:b/>
                <w:bCs/>
                <w:sz w:val="20"/>
                <w:szCs w:val="20"/>
              </w:rPr>
              <w:t>2</w:t>
            </w:r>
            <w:r w:rsidRPr="00C43BE8">
              <w:rPr>
                <w:b/>
                <w:bCs/>
                <w:sz w:val="20"/>
                <w:szCs w:val="20"/>
              </w:rPr>
              <w:t>.ceturksnis</w:t>
            </w: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b/>
                <w:bCs/>
                <w:sz w:val="20"/>
                <w:szCs w:val="20"/>
              </w:rPr>
              <w:t>kopā</w:t>
            </w:r>
          </w:p>
        </w:tc>
        <w:tc>
          <w:tcPr>
            <w:tcW w:w="1133" w:type="dxa"/>
            <w:shd w:val="clear" w:color="auto" w:fill="auto"/>
            <w:vAlign w:val="center"/>
          </w:tcPr>
          <w:p w:rsidR="00992806" w:rsidRPr="00C43BE8" w:rsidRDefault="00992806" w:rsidP="00992806">
            <w:pPr>
              <w:jc w:val="right"/>
              <w:rPr>
                <w:b/>
                <w:bCs/>
                <w:sz w:val="20"/>
                <w:szCs w:val="20"/>
              </w:rPr>
            </w:pPr>
            <w:r w:rsidRPr="00C43BE8">
              <w:rPr>
                <w:b/>
                <w:bCs/>
                <w:sz w:val="20"/>
                <w:szCs w:val="20"/>
              </w:rPr>
              <w:t>45</w:t>
            </w:r>
            <w:r>
              <w:rPr>
                <w:b/>
                <w:bCs/>
                <w:sz w:val="20"/>
                <w:szCs w:val="20"/>
              </w:rPr>
              <w:t>8</w:t>
            </w:r>
            <w:r w:rsidRPr="00C43BE8">
              <w:rPr>
                <w:b/>
                <w:bCs/>
                <w:sz w:val="20"/>
                <w:szCs w:val="20"/>
              </w:rPr>
              <w:t xml:space="preserve"> 1</w:t>
            </w:r>
            <w:r>
              <w:rPr>
                <w:b/>
                <w:bCs/>
                <w:sz w:val="20"/>
                <w:szCs w:val="20"/>
              </w:rPr>
              <w:t>47</w:t>
            </w:r>
          </w:p>
        </w:tc>
        <w:tc>
          <w:tcPr>
            <w:tcW w:w="1129" w:type="dxa"/>
            <w:shd w:val="clear" w:color="auto" w:fill="auto"/>
            <w:vAlign w:val="center"/>
          </w:tcPr>
          <w:p w:rsidR="00992806" w:rsidRPr="00C43BE8" w:rsidRDefault="00992806" w:rsidP="00992806">
            <w:pPr>
              <w:jc w:val="right"/>
              <w:rPr>
                <w:b/>
                <w:bCs/>
                <w:sz w:val="20"/>
                <w:szCs w:val="20"/>
              </w:rPr>
            </w:pPr>
            <w:r w:rsidRPr="00C43BE8">
              <w:rPr>
                <w:b/>
                <w:bCs/>
                <w:sz w:val="20"/>
                <w:szCs w:val="20"/>
              </w:rPr>
              <w:t>42</w:t>
            </w:r>
            <w:r>
              <w:rPr>
                <w:b/>
                <w:bCs/>
                <w:sz w:val="20"/>
                <w:szCs w:val="20"/>
              </w:rPr>
              <w:t>7</w:t>
            </w:r>
            <w:r w:rsidRPr="00C43BE8">
              <w:rPr>
                <w:b/>
                <w:bCs/>
                <w:sz w:val="20"/>
                <w:szCs w:val="20"/>
              </w:rPr>
              <w:t xml:space="preserve"> </w:t>
            </w:r>
            <w:r>
              <w:rPr>
                <w:b/>
                <w:bCs/>
                <w:sz w:val="20"/>
                <w:szCs w:val="20"/>
              </w:rPr>
              <w:t>432</w:t>
            </w:r>
          </w:p>
        </w:tc>
        <w:tc>
          <w:tcPr>
            <w:tcW w:w="1092" w:type="dxa"/>
            <w:shd w:val="clear" w:color="auto" w:fill="auto"/>
            <w:vAlign w:val="center"/>
          </w:tcPr>
          <w:p w:rsidR="00992806" w:rsidRPr="00C43BE8" w:rsidRDefault="00992806" w:rsidP="00992806">
            <w:pPr>
              <w:jc w:val="right"/>
              <w:rPr>
                <w:b/>
                <w:bCs/>
                <w:sz w:val="20"/>
                <w:szCs w:val="20"/>
              </w:rPr>
            </w:pPr>
            <w:r w:rsidRPr="00C43BE8">
              <w:rPr>
                <w:b/>
                <w:bCs/>
                <w:sz w:val="20"/>
                <w:szCs w:val="20"/>
              </w:rPr>
              <w:t>8</w:t>
            </w:r>
            <w:r>
              <w:rPr>
                <w:b/>
                <w:bCs/>
                <w:sz w:val="20"/>
                <w:szCs w:val="20"/>
              </w:rPr>
              <w:t>85</w:t>
            </w:r>
            <w:r w:rsidRPr="00C43BE8">
              <w:rPr>
                <w:b/>
                <w:bCs/>
                <w:sz w:val="20"/>
                <w:szCs w:val="20"/>
              </w:rPr>
              <w:t xml:space="preserve"> </w:t>
            </w:r>
            <w:r>
              <w:rPr>
                <w:b/>
                <w:bCs/>
                <w:sz w:val="20"/>
                <w:szCs w:val="20"/>
              </w:rPr>
              <w:t>579</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proofErr w:type="spellStart"/>
            <w:r w:rsidRPr="00C43BE8">
              <w:rPr>
                <w:b/>
                <w:bCs/>
                <w:sz w:val="20"/>
                <w:szCs w:val="20"/>
              </w:rPr>
              <w:t>euro</w:t>
            </w:r>
            <w:proofErr w:type="spellEnd"/>
          </w:p>
        </w:tc>
        <w:tc>
          <w:tcPr>
            <w:tcW w:w="1133" w:type="dxa"/>
            <w:shd w:val="clear" w:color="auto" w:fill="auto"/>
            <w:vAlign w:val="center"/>
          </w:tcPr>
          <w:p w:rsidR="00992806" w:rsidRPr="00C43BE8" w:rsidRDefault="00992806" w:rsidP="00992806">
            <w:pPr>
              <w:jc w:val="right"/>
              <w:rPr>
                <w:sz w:val="20"/>
                <w:szCs w:val="20"/>
              </w:rPr>
            </w:pPr>
            <w:r w:rsidRPr="00C43BE8">
              <w:rPr>
                <w:sz w:val="20"/>
                <w:szCs w:val="20"/>
              </w:rPr>
              <w:t>2</w:t>
            </w:r>
            <w:r>
              <w:rPr>
                <w:sz w:val="20"/>
                <w:szCs w:val="20"/>
              </w:rPr>
              <w:t>4</w:t>
            </w:r>
            <w:r w:rsidRPr="00C43BE8">
              <w:rPr>
                <w:sz w:val="20"/>
                <w:szCs w:val="20"/>
              </w:rPr>
              <w:t xml:space="preserve"> </w:t>
            </w:r>
            <w:r>
              <w:rPr>
                <w:sz w:val="20"/>
                <w:szCs w:val="20"/>
              </w:rPr>
              <w:t>612</w:t>
            </w:r>
          </w:p>
        </w:tc>
        <w:tc>
          <w:tcPr>
            <w:tcW w:w="1129" w:type="dxa"/>
            <w:shd w:val="clear" w:color="auto" w:fill="auto"/>
            <w:vAlign w:val="center"/>
          </w:tcPr>
          <w:p w:rsidR="00992806" w:rsidRPr="00C43BE8" w:rsidRDefault="00992806" w:rsidP="00992806">
            <w:pPr>
              <w:jc w:val="right"/>
              <w:rPr>
                <w:sz w:val="20"/>
                <w:szCs w:val="20"/>
              </w:rPr>
            </w:pPr>
            <w:r w:rsidRPr="00C43BE8">
              <w:rPr>
                <w:sz w:val="20"/>
                <w:szCs w:val="20"/>
              </w:rPr>
              <w:t xml:space="preserve">13 </w:t>
            </w:r>
            <w:r>
              <w:rPr>
                <w:sz w:val="20"/>
                <w:szCs w:val="20"/>
              </w:rPr>
              <w:t>892</w:t>
            </w:r>
          </w:p>
        </w:tc>
        <w:tc>
          <w:tcPr>
            <w:tcW w:w="1092" w:type="dxa"/>
            <w:shd w:val="clear" w:color="auto" w:fill="auto"/>
            <w:vAlign w:val="center"/>
          </w:tcPr>
          <w:p w:rsidR="00992806" w:rsidRPr="00C43BE8" w:rsidRDefault="00992806" w:rsidP="00992806">
            <w:pPr>
              <w:jc w:val="right"/>
              <w:rPr>
                <w:sz w:val="20"/>
                <w:szCs w:val="20"/>
              </w:rPr>
            </w:pPr>
            <w:r w:rsidRPr="00C43BE8">
              <w:rPr>
                <w:sz w:val="20"/>
                <w:szCs w:val="20"/>
              </w:rPr>
              <w:t>3</w:t>
            </w:r>
            <w:r>
              <w:rPr>
                <w:sz w:val="20"/>
                <w:szCs w:val="20"/>
              </w:rPr>
              <w:t>8</w:t>
            </w:r>
            <w:r w:rsidRPr="00C43BE8">
              <w:rPr>
                <w:sz w:val="20"/>
                <w:szCs w:val="20"/>
              </w:rPr>
              <w:t xml:space="preserve"> </w:t>
            </w:r>
            <w:r>
              <w:rPr>
                <w:sz w:val="20"/>
                <w:szCs w:val="20"/>
              </w:rPr>
              <w:t>504</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 xml:space="preserve">0,01 - </w:t>
            </w:r>
            <w:r>
              <w:rPr>
                <w:b/>
                <w:bCs/>
                <w:sz w:val="20"/>
                <w:szCs w:val="20"/>
              </w:rPr>
              <w:t>320</w:t>
            </w:r>
            <w:r w:rsidRPr="00C43BE8">
              <w:rPr>
                <w:b/>
                <w:bCs/>
                <w:sz w:val="20"/>
                <w:szCs w:val="20"/>
              </w:rPr>
              <w:t xml:space="preserve"> </w:t>
            </w:r>
            <w:proofErr w:type="spellStart"/>
            <w:r w:rsidRPr="00C43BE8">
              <w:rPr>
                <w:b/>
                <w:bCs/>
                <w:sz w:val="20"/>
                <w:szCs w:val="20"/>
              </w:rPr>
              <w:t>euro</w:t>
            </w:r>
            <w:proofErr w:type="spellEnd"/>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3" w:type="dxa"/>
            <w:shd w:val="clear" w:color="auto" w:fill="auto"/>
            <w:vAlign w:val="center"/>
          </w:tcPr>
          <w:p w:rsidR="00992806" w:rsidRPr="00C43BE8" w:rsidRDefault="00992806" w:rsidP="00992806">
            <w:pPr>
              <w:jc w:val="right"/>
              <w:rPr>
                <w:sz w:val="20"/>
                <w:szCs w:val="20"/>
              </w:rPr>
            </w:pPr>
            <w:r w:rsidRPr="00C43BE8">
              <w:rPr>
                <w:sz w:val="20"/>
                <w:szCs w:val="20"/>
              </w:rPr>
              <w:t>12</w:t>
            </w:r>
            <w:r>
              <w:rPr>
                <w:sz w:val="20"/>
                <w:szCs w:val="20"/>
              </w:rPr>
              <w:t>7</w:t>
            </w:r>
            <w:r w:rsidRPr="00C43BE8">
              <w:rPr>
                <w:sz w:val="20"/>
                <w:szCs w:val="20"/>
              </w:rPr>
              <w:t xml:space="preserve"> </w:t>
            </w:r>
            <w:r>
              <w:rPr>
                <w:sz w:val="20"/>
                <w:szCs w:val="20"/>
              </w:rPr>
              <w:t>670</w:t>
            </w:r>
          </w:p>
        </w:tc>
        <w:tc>
          <w:tcPr>
            <w:tcW w:w="1129" w:type="dxa"/>
            <w:shd w:val="clear" w:color="auto" w:fill="auto"/>
            <w:vAlign w:val="center"/>
          </w:tcPr>
          <w:p w:rsidR="00992806" w:rsidRPr="00C43BE8" w:rsidRDefault="00992806" w:rsidP="00992806">
            <w:pPr>
              <w:jc w:val="right"/>
              <w:rPr>
                <w:sz w:val="20"/>
                <w:szCs w:val="20"/>
              </w:rPr>
            </w:pPr>
            <w:r w:rsidRPr="00C43BE8">
              <w:rPr>
                <w:sz w:val="20"/>
                <w:szCs w:val="20"/>
              </w:rPr>
              <w:t>12</w:t>
            </w:r>
            <w:r>
              <w:rPr>
                <w:sz w:val="20"/>
                <w:szCs w:val="20"/>
              </w:rPr>
              <w:t>7</w:t>
            </w:r>
            <w:r w:rsidRPr="00C43BE8">
              <w:rPr>
                <w:sz w:val="20"/>
                <w:szCs w:val="20"/>
              </w:rPr>
              <w:t xml:space="preserve"> </w:t>
            </w:r>
            <w:r>
              <w:rPr>
                <w:sz w:val="20"/>
                <w:szCs w:val="20"/>
              </w:rPr>
              <w:t>102</w:t>
            </w:r>
          </w:p>
        </w:tc>
        <w:tc>
          <w:tcPr>
            <w:tcW w:w="1092" w:type="dxa"/>
            <w:shd w:val="clear" w:color="auto" w:fill="auto"/>
            <w:vAlign w:val="center"/>
          </w:tcPr>
          <w:p w:rsidR="00992806" w:rsidRPr="00C43BE8" w:rsidRDefault="00992806" w:rsidP="00992806">
            <w:pPr>
              <w:jc w:val="right"/>
              <w:rPr>
                <w:sz w:val="20"/>
                <w:szCs w:val="20"/>
              </w:rPr>
            </w:pPr>
            <w:r w:rsidRPr="00C43BE8">
              <w:rPr>
                <w:sz w:val="20"/>
                <w:szCs w:val="20"/>
              </w:rPr>
              <w:t>2</w:t>
            </w:r>
            <w:r>
              <w:rPr>
                <w:sz w:val="20"/>
                <w:szCs w:val="20"/>
              </w:rPr>
              <w:t>54</w:t>
            </w:r>
            <w:r w:rsidRPr="00C43BE8">
              <w:rPr>
                <w:sz w:val="20"/>
                <w:szCs w:val="20"/>
              </w:rPr>
              <w:t xml:space="preserve"> </w:t>
            </w:r>
            <w:r>
              <w:rPr>
                <w:sz w:val="20"/>
                <w:szCs w:val="20"/>
              </w:rPr>
              <w:t>772</w:t>
            </w:r>
          </w:p>
        </w:tc>
      </w:tr>
      <w:tr w:rsidR="00992806" w:rsidRPr="00C43BE8" w:rsidTr="00F90926">
        <w:tc>
          <w:tcPr>
            <w:tcW w:w="1244" w:type="dxa"/>
            <w:vMerge w:val="restart"/>
            <w:shd w:val="clear" w:color="auto" w:fill="auto"/>
          </w:tcPr>
          <w:p w:rsidR="00992806" w:rsidRPr="00C43BE8" w:rsidRDefault="00992806" w:rsidP="00F90926">
            <w:pPr>
              <w:autoSpaceDE w:val="0"/>
              <w:autoSpaceDN w:val="0"/>
              <w:adjustRightInd w:val="0"/>
              <w:jc w:val="center"/>
              <w:rPr>
                <w:b/>
                <w:sz w:val="20"/>
                <w:szCs w:val="20"/>
              </w:rPr>
            </w:pPr>
            <w:r w:rsidRPr="00C43BE8">
              <w:rPr>
                <w:b/>
                <w:bCs/>
                <w:sz w:val="20"/>
                <w:szCs w:val="20"/>
              </w:rPr>
              <w:t>2013.gada 2.ceturksnis</w:t>
            </w: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b/>
                <w:bCs/>
                <w:sz w:val="20"/>
                <w:szCs w:val="20"/>
              </w:rPr>
              <w:t>kopā</w:t>
            </w:r>
          </w:p>
        </w:tc>
        <w:tc>
          <w:tcPr>
            <w:tcW w:w="1133" w:type="dxa"/>
            <w:shd w:val="clear" w:color="auto" w:fill="auto"/>
            <w:vAlign w:val="center"/>
          </w:tcPr>
          <w:p w:rsidR="00992806" w:rsidRPr="00C43BE8" w:rsidRDefault="00992806" w:rsidP="00F90926">
            <w:pPr>
              <w:jc w:val="right"/>
              <w:rPr>
                <w:b/>
                <w:bCs/>
                <w:sz w:val="20"/>
                <w:szCs w:val="20"/>
              </w:rPr>
            </w:pPr>
            <w:r w:rsidRPr="00C43BE8">
              <w:rPr>
                <w:b/>
                <w:bCs/>
                <w:sz w:val="20"/>
                <w:szCs w:val="20"/>
              </w:rPr>
              <w:t>451 122</w:t>
            </w:r>
          </w:p>
        </w:tc>
        <w:tc>
          <w:tcPr>
            <w:tcW w:w="1129" w:type="dxa"/>
            <w:shd w:val="clear" w:color="auto" w:fill="auto"/>
            <w:vAlign w:val="center"/>
          </w:tcPr>
          <w:p w:rsidR="00992806" w:rsidRPr="00C43BE8" w:rsidRDefault="00992806" w:rsidP="00F90926">
            <w:pPr>
              <w:jc w:val="right"/>
              <w:rPr>
                <w:b/>
                <w:bCs/>
                <w:sz w:val="20"/>
                <w:szCs w:val="20"/>
              </w:rPr>
            </w:pPr>
            <w:r w:rsidRPr="00C43BE8">
              <w:rPr>
                <w:b/>
                <w:bCs/>
                <w:sz w:val="20"/>
                <w:szCs w:val="20"/>
              </w:rPr>
              <w:t>420 942</w:t>
            </w:r>
          </w:p>
        </w:tc>
        <w:tc>
          <w:tcPr>
            <w:tcW w:w="1092" w:type="dxa"/>
            <w:shd w:val="clear" w:color="auto" w:fill="auto"/>
            <w:vAlign w:val="center"/>
          </w:tcPr>
          <w:p w:rsidR="00992806" w:rsidRPr="00C43BE8" w:rsidRDefault="00992806" w:rsidP="00F90926">
            <w:pPr>
              <w:jc w:val="right"/>
              <w:rPr>
                <w:b/>
                <w:bCs/>
                <w:sz w:val="20"/>
                <w:szCs w:val="20"/>
              </w:rPr>
            </w:pPr>
            <w:r w:rsidRPr="00C43BE8">
              <w:rPr>
                <w:b/>
                <w:bCs/>
                <w:sz w:val="20"/>
                <w:szCs w:val="20"/>
              </w:rPr>
              <w:t>872 064</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proofErr w:type="spellStart"/>
            <w:r w:rsidRPr="00C43BE8">
              <w:rPr>
                <w:b/>
                <w:bCs/>
                <w:sz w:val="20"/>
                <w:szCs w:val="20"/>
              </w:rPr>
              <w:t>euro</w:t>
            </w:r>
            <w:proofErr w:type="spellEnd"/>
          </w:p>
        </w:tc>
        <w:tc>
          <w:tcPr>
            <w:tcW w:w="1133" w:type="dxa"/>
            <w:shd w:val="clear" w:color="auto" w:fill="auto"/>
            <w:vAlign w:val="center"/>
          </w:tcPr>
          <w:p w:rsidR="00992806" w:rsidRPr="00C43BE8" w:rsidRDefault="00992806" w:rsidP="00F90926">
            <w:pPr>
              <w:jc w:val="right"/>
              <w:rPr>
                <w:sz w:val="20"/>
                <w:szCs w:val="20"/>
              </w:rPr>
            </w:pPr>
            <w:r w:rsidRPr="00C43BE8">
              <w:rPr>
                <w:sz w:val="20"/>
                <w:szCs w:val="20"/>
              </w:rPr>
              <w:t>23 057</w:t>
            </w:r>
          </w:p>
        </w:tc>
        <w:tc>
          <w:tcPr>
            <w:tcW w:w="1129" w:type="dxa"/>
            <w:shd w:val="clear" w:color="auto" w:fill="auto"/>
            <w:vAlign w:val="center"/>
          </w:tcPr>
          <w:p w:rsidR="00992806" w:rsidRPr="00C43BE8" w:rsidRDefault="00992806" w:rsidP="00F90926">
            <w:pPr>
              <w:jc w:val="right"/>
              <w:rPr>
                <w:sz w:val="20"/>
                <w:szCs w:val="20"/>
              </w:rPr>
            </w:pPr>
            <w:r w:rsidRPr="00C43BE8">
              <w:rPr>
                <w:sz w:val="20"/>
                <w:szCs w:val="20"/>
              </w:rPr>
              <w:t>13 694</w:t>
            </w:r>
          </w:p>
        </w:tc>
        <w:tc>
          <w:tcPr>
            <w:tcW w:w="1092" w:type="dxa"/>
            <w:shd w:val="clear" w:color="auto" w:fill="auto"/>
            <w:vAlign w:val="center"/>
          </w:tcPr>
          <w:p w:rsidR="00992806" w:rsidRPr="00C43BE8" w:rsidRDefault="00992806" w:rsidP="00F90926">
            <w:pPr>
              <w:jc w:val="right"/>
              <w:rPr>
                <w:sz w:val="20"/>
                <w:szCs w:val="20"/>
              </w:rPr>
            </w:pPr>
            <w:r w:rsidRPr="00C43BE8">
              <w:rPr>
                <w:sz w:val="20"/>
                <w:szCs w:val="20"/>
              </w:rPr>
              <w:t>36 751</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 xml:space="preserve">0,01 - 284,58 </w:t>
            </w:r>
            <w:proofErr w:type="spellStart"/>
            <w:r w:rsidRPr="00C43BE8">
              <w:rPr>
                <w:b/>
                <w:bCs/>
                <w:sz w:val="20"/>
                <w:szCs w:val="20"/>
              </w:rPr>
              <w:t>euro</w:t>
            </w:r>
            <w:proofErr w:type="spellEnd"/>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3" w:type="dxa"/>
            <w:shd w:val="clear" w:color="auto" w:fill="auto"/>
            <w:vAlign w:val="center"/>
          </w:tcPr>
          <w:p w:rsidR="00992806" w:rsidRPr="00C43BE8" w:rsidRDefault="00992806" w:rsidP="00F90926">
            <w:pPr>
              <w:jc w:val="right"/>
              <w:rPr>
                <w:sz w:val="20"/>
                <w:szCs w:val="20"/>
              </w:rPr>
            </w:pPr>
            <w:r w:rsidRPr="00C43BE8">
              <w:rPr>
                <w:sz w:val="20"/>
                <w:szCs w:val="20"/>
              </w:rPr>
              <w:t>123 586</w:t>
            </w:r>
          </w:p>
        </w:tc>
        <w:tc>
          <w:tcPr>
            <w:tcW w:w="1129" w:type="dxa"/>
            <w:shd w:val="clear" w:color="auto" w:fill="auto"/>
            <w:vAlign w:val="center"/>
          </w:tcPr>
          <w:p w:rsidR="00992806" w:rsidRPr="00C43BE8" w:rsidRDefault="00992806" w:rsidP="00F90926">
            <w:pPr>
              <w:jc w:val="right"/>
              <w:rPr>
                <w:sz w:val="20"/>
                <w:szCs w:val="20"/>
              </w:rPr>
            </w:pPr>
            <w:r w:rsidRPr="00C43BE8">
              <w:rPr>
                <w:sz w:val="20"/>
                <w:szCs w:val="20"/>
              </w:rPr>
              <w:t>124 689</w:t>
            </w:r>
          </w:p>
        </w:tc>
        <w:tc>
          <w:tcPr>
            <w:tcW w:w="1092" w:type="dxa"/>
            <w:shd w:val="clear" w:color="auto" w:fill="auto"/>
            <w:vAlign w:val="center"/>
          </w:tcPr>
          <w:p w:rsidR="00992806" w:rsidRPr="00C43BE8" w:rsidRDefault="00992806" w:rsidP="00F90926">
            <w:pPr>
              <w:jc w:val="right"/>
              <w:rPr>
                <w:sz w:val="20"/>
                <w:szCs w:val="20"/>
              </w:rPr>
            </w:pPr>
            <w:r w:rsidRPr="00C43BE8">
              <w:rPr>
                <w:sz w:val="20"/>
                <w:szCs w:val="20"/>
              </w:rPr>
              <w:t>248 275</w:t>
            </w:r>
          </w:p>
        </w:tc>
      </w:tr>
      <w:tr w:rsidR="00992806" w:rsidRPr="00C43BE8" w:rsidTr="00F90926">
        <w:tc>
          <w:tcPr>
            <w:tcW w:w="5933" w:type="dxa"/>
            <w:gridSpan w:val="2"/>
            <w:shd w:val="clear" w:color="auto" w:fill="auto"/>
          </w:tcPr>
          <w:p w:rsidR="00992806" w:rsidRPr="00C43BE8" w:rsidRDefault="00992806" w:rsidP="00F90926">
            <w:pPr>
              <w:autoSpaceDE w:val="0"/>
              <w:autoSpaceDN w:val="0"/>
              <w:adjustRightInd w:val="0"/>
              <w:jc w:val="right"/>
              <w:rPr>
                <w:sz w:val="20"/>
                <w:szCs w:val="20"/>
              </w:rPr>
            </w:pPr>
            <w:r w:rsidRPr="009E66F5">
              <w:rPr>
                <w:b/>
                <w:i/>
                <w:sz w:val="20"/>
                <w:szCs w:val="20"/>
              </w:rPr>
              <w:t>% kopā</w:t>
            </w:r>
          </w:p>
        </w:tc>
        <w:tc>
          <w:tcPr>
            <w:tcW w:w="1133" w:type="dxa"/>
            <w:shd w:val="clear" w:color="auto" w:fill="auto"/>
            <w:vAlign w:val="center"/>
          </w:tcPr>
          <w:p w:rsidR="00992806" w:rsidRPr="00992806" w:rsidRDefault="00992806" w:rsidP="00F90926">
            <w:pPr>
              <w:jc w:val="right"/>
              <w:rPr>
                <w:b/>
                <w:i/>
                <w:sz w:val="20"/>
                <w:szCs w:val="20"/>
              </w:rPr>
            </w:pPr>
            <w:r>
              <w:rPr>
                <w:b/>
                <w:i/>
                <w:sz w:val="20"/>
                <w:szCs w:val="20"/>
              </w:rPr>
              <w:t>101,6</w:t>
            </w:r>
          </w:p>
        </w:tc>
        <w:tc>
          <w:tcPr>
            <w:tcW w:w="1129" w:type="dxa"/>
            <w:shd w:val="clear" w:color="auto" w:fill="auto"/>
            <w:vAlign w:val="center"/>
          </w:tcPr>
          <w:p w:rsidR="00992806" w:rsidRPr="00992806" w:rsidRDefault="00992806" w:rsidP="00F90926">
            <w:pPr>
              <w:jc w:val="right"/>
              <w:rPr>
                <w:b/>
                <w:i/>
                <w:sz w:val="20"/>
                <w:szCs w:val="20"/>
              </w:rPr>
            </w:pPr>
            <w:r>
              <w:rPr>
                <w:b/>
                <w:i/>
                <w:sz w:val="20"/>
                <w:szCs w:val="20"/>
              </w:rPr>
              <w:t>101,5</w:t>
            </w:r>
          </w:p>
        </w:tc>
        <w:tc>
          <w:tcPr>
            <w:tcW w:w="1092" w:type="dxa"/>
            <w:shd w:val="clear" w:color="auto" w:fill="auto"/>
            <w:vAlign w:val="center"/>
          </w:tcPr>
          <w:p w:rsidR="00992806" w:rsidRPr="00992806" w:rsidRDefault="00992806" w:rsidP="00F90926">
            <w:pPr>
              <w:jc w:val="right"/>
              <w:rPr>
                <w:b/>
                <w:i/>
                <w:sz w:val="20"/>
                <w:szCs w:val="20"/>
              </w:rPr>
            </w:pPr>
            <w:r>
              <w:rPr>
                <w:b/>
                <w:i/>
                <w:sz w:val="20"/>
                <w:szCs w:val="20"/>
              </w:rPr>
              <w:t>101,5</w:t>
            </w:r>
          </w:p>
        </w:tc>
      </w:tr>
      <w:tr w:rsidR="00992806" w:rsidRPr="00C43BE8" w:rsidTr="00F90926">
        <w:tc>
          <w:tcPr>
            <w:tcW w:w="1244" w:type="dxa"/>
            <w:vMerge w:val="restart"/>
            <w:shd w:val="clear" w:color="auto" w:fill="auto"/>
          </w:tcPr>
          <w:p w:rsidR="00992806" w:rsidRPr="00C43BE8" w:rsidRDefault="00992806" w:rsidP="00992806">
            <w:pPr>
              <w:autoSpaceDE w:val="0"/>
              <w:autoSpaceDN w:val="0"/>
              <w:adjustRightInd w:val="0"/>
              <w:jc w:val="center"/>
              <w:rPr>
                <w:b/>
                <w:sz w:val="20"/>
                <w:szCs w:val="20"/>
              </w:rPr>
            </w:pPr>
            <w:r w:rsidRPr="00C43BE8">
              <w:rPr>
                <w:b/>
                <w:bCs/>
                <w:sz w:val="20"/>
                <w:szCs w:val="20"/>
              </w:rPr>
              <w:t>201</w:t>
            </w:r>
            <w:r>
              <w:rPr>
                <w:b/>
                <w:bCs/>
                <w:sz w:val="20"/>
                <w:szCs w:val="20"/>
              </w:rPr>
              <w:t>4</w:t>
            </w:r>
            <w:r w:rsidRPr="00C43BE8">
              <w:rPr>
                <w:b/>
                <w:bCs/>
                <w:sz w:val="20"/>
                <w:szCs w:val="20"/>
              </w:rPr>
              <w:t xml:space="preserve">.gada </w:t>
            </w:r>
            <w:r>
              <w:rPr>
                <w:b/>
                <w:bCs/>
                <w:sz w:val="20"/>
                <w:szCs w:val="20"/>
              </w:rPr>
              <w:t>3</w:t>
            </w:r>
            <w:r w:rsidRPr="00C43BE8">
              <w:rPr>
                <w:b/>
                <w:bCs/>
                <w:sz w:val="20"/>
                <w:szCs w:val="20"/>
              </w:rPr>
              <w:t>.ceturksnis</w:t>
            </w: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b/>
                <w:bCs/>
                <w:sz w:val="20"/>
                <w:szCs w:val="20"/>
              </w:rPr>
              <w:t>kopā</w:t>
            </w:r>
          </w:p>
        </w:tc>
        <w:tc>
          <w:tcPr>
            <w:tcW w:w="1133" w:type="dxa"/>
            <w:shd w:val="clear" w:color="auto" w:fill="auto"/>
            <w:vAlign w:val="center"/>
          </w:tcPr>
          <w:p w:rsidR="00992806" w:rsidRPr="00C43BE8" w:rsidRDefault="00992806" w:rsidP="00992806">
            <w:pPr>
              <w:jc w:val="right"/>
              <w:rPr>
                <w:b/>
                <w:bCs/>
                <w:sz w:val="20"/>
                <w:szCs w:val="20"/>
              </w:rPr>
            </w:pPr>
            <w:r w:rsidRPr="00C43BE8">
              <w:rPr>
                <w:b/>
                <w:bCs/>
                <w:sz w:val="20"/>
                <w:szCs w:val="20"/>
              </w:rPr>
              <w:t>4</w:t>
            </w:r>
            <w:r>
              <w:rPr>
                <w:b/>
                <w:bCs/>
                <w:sz w:val="20"/>
                <w:szCs w:val="20"/>
              </w:rPr>
              <w:t>67</w:t>
            </w:r>
            <w:r w:rsidRPr="00C43BE8">
              <w:rPr>
                <w:b/>
                <w:bCs/>
                <w:sz w:val="20"/>
                <w:szCs w:val="20"/>
              </w:rPr>
              <w:t xml:space="preserve"> 1</w:t>
            </w:r>
            <w:r>
              <w:rPr>
                <w:b/>
                <w:bCs/>
                <w:sz w:val="20"/>
                <w:szCs w:val="20"/>
              </w:rPr>
              <w:t>10</w:t>
            </w:r>
          </w:p>
        </w:tc>
        <w:tc>
          <w:tcPr>
            <w:tcW w:w="1129" w:type="dxa"/>
            <w:shd w:val="clear" w:color="auto" w:fill="auto"/>
            <w:vAlign w:val="center"/>
          </w:tcPr>
          <w:p w:rsidR="00992806" w:rsidRPr="00C43BE8" w:rsidRDefault="00992806" w:rsidP="00992806">
            <w:pPr>
              <w:jc w:val="right"/>
              <w:rPr>
                <w:b/>
                <w:bCs/>
                <w:sz w:val="20"/>
                <w:szCs w:val="20"/>
              </w:rPr>
            </w:pPr>
            <w:r w:rsidRPr="00C43BE8">
              <w:rPr>
                <w:b/>
                <w:bCs/>
                <w:sz w:val="20"/>
                <w:szCs w:val="20"/>
              </w:rPr>
              <w:t>42</w:t>
            </w:r>
            <w:r>
              <w:rPr>
                <w:b/>
                <w:bCs/>
                <w:sz w:val="20"/>
                <w:szCs w:val="20"/>
              </w:rPr>
              <w:t>8</w:t>
            </w:r>
            <w:r w:rsidRPr="00C43BE8">
              <w:rPr>
                <w:b/>
                <w:bCs/>
                <w:sz w:val="20"/>
                <w:szCs w:val="20"/>
              </w:rPr>
              <w:t xml:space="preserve"> </w:t>
            </w:r>
            <w:r>
              <w:rPr>
                <w:b/>
                <w:bCs/>
                <w:sz w:val="20"/>
                <w:szCs w:val="20"/>
              </w:rPr>
              <w:t>004</w:t>
            </w:r>
          </w:p>
        </w:tc>
        <w:tc>
          <w:tcPr>
            <w:tcW w:w="1092" w:type="dxa"/>
            <w:shd w:val="clear" w:color="auto" w:fill="auto"/>
            <w:vAlign w:val="center"/>
          </w:tcPr>
          <w:p w:rsidR="00992806" w:rsidRPr="00C43BE8" w:rsidRDefault="00992806" w:rsidP="00992806">
            <w:pPr>
              <w:jc w:val="right"/>
              <w:rPr>
                <w:b/>
                <w:bCs/>
                <w:sz w:val="20"/>
                <w:szCs w:val="20"/>
              </w:rPr>
            </w:pPr>
            <w:r w:rsidRPr="00C43BE8">
              <w:rPr>
                <w:b/>
                <w:bCs/>
                <w:sz w:val="20"/>
                <w:szCs w:val="20"/>
              </w:rPr>
              <w:t>8</w:t>
            </w:r>
            <w:r>
              <w:rPr>
                <w:b/>
                <w:bCs/>
                <w:sz w:val="20"/>
                <w:szCs w:val="20"/>
              </w:rPr>
              <w:t>95</w:t>
            </w:r>
            <w:r w:rsidRPr="00C43BE8">
              <w:rPr>
                <w:b/>
                <w:bCs/>
                <w:sz w:val="20"/>
                <w:szCs w:val="20"/>
              </w:rPr>
              <w:t xml:space="preserve"> </w:t>
            </w:r>
            <w:r>
              <w:rPr>
                <w:b/>
                <w:bCs/>
                <w:sz w:val="20"/>
                <w:szCs w:val="20"/>
              </w:rPr>
              <w:t>114</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proofErr w:type="spellStart"/>
            <w:r w:rsidRPr="00C43BE8">
              <w:rPr>
                <w:b/>
                <w:bCs/>
                <w:sz w:val="20"/>
                <w:szCs w:val="20"/>
              </w:rPr>
              <w:t>euro</w:t>
            </w:r>
            <w:proofErr w:type="spellEnd"/>
          </w:p>
        </w:tc>
        <w:tc>
          <w:tcPr>
            <w:tcW w:w="1133" w:type="dxa"/>
            <w:shd w:val="clear" w:color="auto" w:fill="auto"/>
            <w:vAlign w:val="center"/>
          </w:tcPr>
          <w:p w:rsidR="00992806" w:rsidRPr="00C43BE8" w:rsidRDefault="00992806" w:rsidP="00992806">
            <w:pPr>
              <w:jc w:val="right"/>
              <w:rPr>
                <w:sz w:val="20"/>
                <w:szCs w:val="20"/>
              </w:rPr>
            </w:pPr>
            <w:r w:rsidRPr="00C43BE8">
              <w:rPr>
                <w:sz w:val="20"/>
                <w:szCs w:val="20"/>
              </w:rPr>
              <w:t>2</w:t>
            </w:r>
            <w:r>
              <w:rPr>
                <w:sz w:val="20"/>
                <w:szCs w:val="20"/>
              </w:rPr>
              <w:t>5</w:t>
            </w:r>
            <w:r w:rsidRPr="00C43BE8">
              <w:rPr>
                <w:sz w:val="20"/>
                <w:szCs w:val="20"/>
              </w:rPr>
              <w:t xml:space="preserve"> </w:t>
            </w:r>
            <w:r>
              <w:rPr>
                <w:sz w:val="20"/>
                <w:szCs w:val="20"/>
              </w:rPr>
              <w:t>409</w:t>
            </w:r>
          </w:p>
        </w:tc>
        <w:tc>
          <w:tcPr>
            <w:tcW w:w="1129" w:type="dxa"/>
            <w:shd w:val="clear" w:color="auto" w:fill="auto"/>
            <w:vAlign w:val="center"/>
          </w:tcPr>
          <w:p w:rsidR="00992806" w:rsidRPr="00C43BE8" w:rsidRDefault="00992806" w:rsidP="00992806">
            <w:pPr>
              <w:jc w:val="right"/>
              <w:rPr>
                <w:sz w:val="20"/>
                <w:szCs w:val="20"/>
              </w:rPr>
            </w:pPr>
            <w:r w:rsidRPr="00C43BE8">
              <w:rPr>
                <w:sz w:val="20"/>
                <w:szCs w:val="20"/>
              </w:rPr>
              <w:t>1</w:t>
            </w:r>
            <w:r>
              <w:rPr>
                <w:sz w:val="20"/>
                <w:szCs w:val="20"/>
              </w:rPr>
              <w:t>4</w:t>
            </w:r>
            <w:r w:rsidRPr="00C43BE8">
              <w:rPr>
                <w:sz w:val="20"/>
                <w:szCs w:val="20"/>
              </w:rPr>
              <w:t xml:space="preserve"> </w:t>
            </w:r>
            <w:r>
              <w:rPr>
                <w:sz w:val="20"/>
                <w:szCs w:val="20"/>
              </w:rPr>
              <w:t>633</w:t>
            </w:r>
          </w:p>
        </w:tc>
        <w:tc>
          <w:tcPr>
            <w:tcW w:w="1092" w:type="dxa"/>
            <w:shd w:val="clear" w:color="auto" w:fill="auto"/>
            <w:vAlign w:val="center"/>
          </w:tcPr>
          <w:p w:rsidR="00992806" w:rsidRPr="00C43BE8" w:rsidRDefault="00992806" w:rsidP="00992806">
            <w:pPr>
              <w:jc w:val="right"/>
              <w:rPr>
                <w:sz w:val="20"/>
                <w:szCs w:val="20"/>
              </w:rPr>
            </w:pPr>
            <w:r>
              <w:rPr>
                <w:sz w:val="20"/>
                <w:szCs w:val="20"/>
              </w:rPr>
              <w:t>40</w:t>
            </w:r>
            <w:r w:rsidRPr="00C43BE8">
              <w:rPr>
                <w:sz w:val="20"/>
                <w:szCs w:val="20"/>
              </w:rPr>
              <w:t xml:space="preserve"> </w:t>
            </w:r>
            <w:r>
              <w:rPr>
                <w:sz w:val="20"/>
                <w:szCs w:val="20"/>
              </w:rPr>
              <w:t>042</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 xml:space="preserve">0,01 - </w:t>
            </w:r>
            <w:r>
              <w:rPr>
                <w:b/>
                <w:bCs/>
                <w:sz w:val="20"/>
                <w:szCs w:val="20"/>
              </w:rPr>
              <w:t>320</w:t>
            </w:r>
            <w:r w:rsidRPr="00C43BE8">
              <w:rPr>
                <w:b/>
                <w:bCs/>
                <w:sz w:val="20"/>
                <w:szCs w:val="20"/>
              </w:rPr>
              <w:t xml:space="preserve"> </w:t>
            </w:r>
            <w:proofErr w:type="spellStart"/>
            <w:r w:rsidRPr="00C43BE8">
              <w:rPr>
                <w:b/>
                <w:bCs/>
                <w:sz w:val="20"/>
                <w:szCs w:val="20"/>
              </w:rPr>
              <w:t>euro</w:t>
            </w:r>
            <w:proofErr w:type="spellEnd"/>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3" w:type="dxa"/>
            <w:shd w:val="clear" w:color="auto" w:fill="auto"/>
            <w:vAlign w:val="center"/>
          </w:tcPr>
          <w:p w:rsidR="00992806" w:rsidRPr="00C43BE8" w:rsidRDefault="00992806" w:rsidP="00992806">
            <w:pPr>
              <w:jc w:val="right"/>
              <w:rPr>
                <w:sz w:val="20"/>
                <w:szCs w:val="20"/>
              </w:rPr>
            </w:pPr>
            <w:r w:rsidRPr="00C43BE8">
              <w:rPr>
                <w:sz w:val="20"/>
                <w:szCs w:val="20"/>
              </w:rPr>
              <w:t>12</w:t>
            </w:r>
            <w:r>
              <w:rPr>
                <w:sz w:val="20"/>
                <w:szCs w:val="20"/>
              </w:rPr>
              <w:t>6</w:t>
            </w:r>
            <w:r w:rsidRPr="00C43BE8">
              <w:rPr>
                <w:sz w:val="20"/>
                <w:szCs w:val="20"/>
              </w:rPr>
              <w:t xml:space="preserve"> </w:t>
            </w:r>
            <w:r>
              <w:rPr>
                <w:sz w:val="20"/>
                <w:szCs w:val="20"/>
              </w:rPr>
              <w:t>412</w:t>
            </w:r>
          </w:p>
        </w:tc>
        <w:tc>
          <w:tcPr>
            <w:tcW w:w="1129" w:type="dxa"/>
            <w:shd w:val="clear" w:color="auto" w:fill="auto"/>
            <w:vAlign w:val="center"/>
          </w:tcPr>
          <w:p w:rsidR="00992806" w:rsidRPr="00C43BE8" w:rsidRDefault="00992806" w:rsidP="00992806">
            <w:pPr>
              <w:jc w:val="right"/>
              <w:rPr>
                <w:sz w:val="20"/>
                <w:szCs w:val="20"/>
              </w:rPr>
            </w:pPr>
            <w:r w:rsidRPr="00C43BE8">
              <w:rPr>
                <w:sz w:val="20"/>
                <w:szCs w:val="20"/>
              </w:rPr>
              <w:t>12</w:t>
            </w:r>
            <w:r>
              <w:rPr>
                <w:sz w:val="20"/>
                <w:szCs w:val="20"/>
              </w:rPr>
              <w:t>3</w:t>
            </w:r>
            <w:r w:rsidRPr="00C43BE8">
              <w:rPr>
                <w:sz w:val="20"/>
                <w:szCs w:val="20"/>
              </w:rPr>
              <w:t xml:space="preserve"> </w:t>
            </w:r>
            <w:r>
              <w:rPr>
                <w:sz w:val="20"/>
                <w:szCs w:val="20"/>
              </w:rPr>
              <w:t>141</w:t>
            </w:r>
          </w:p>
        </w:tc>
        <w:tc>
          <w:tcPr>
            <w:tcW w:w="1092" w:type="dxa"/>
            <w:shd w:val="clear" w:color="auto" w:fill="auto"/>
            <w:vAlign w:val="center"/>
          </w:tcPr>
          <w:p w:rsidR="00992806" w:rsidRPr="00C43BE8" w:rsidRDefault="00992806" w:rsidP="00992806">
            <w:pPr>
              <w:jc w:val="right"/>
              <w:rPr>
                <w:sz w:val="20"/>
                <w:szCs w:val="20"/>
              </w:rPr>
            </w:pPr>
            <w:r w:rsidRPr="00C43BE8">
              <w:rPr>
                <w:sz w:val="20"/>
                <w:szCs w:val="20"/>
              </w:rPr>
              <w:t>2</w:t>
            </w:r>
            <w:r>
              <w:rPr>
                <w:sz w:val="20"/>
                <w:szCs w:val="20"/>
              </w:rPr>
              <w:t>49</w:t>
            </w:r>
            <w:r w:rsidRPr="00C43BE8">
              <w:rPr>
                <w:sz w:val="20"/>
                <w:szCs w:val="20"/>
              </w:rPr>
              <w:t xml:space="preserve"> </w:t>
            </w:r>
            <w:r>
              <w:rPr>
                <w:sz w:val="20"/>
                <w:szCs w:val="20"/>
              </w:rPr>
              <w:t>553</w:t>
            </w:r>
          </w:p>
        </w:tc>
      </w:tr>
      <w:tr w:rsidR="00992806" w:rsidRPr="00C43BE8" w:rsidTr="00F90926">
        <w:tc>
          <w:tcPr>
            <w:tcW w:w="1244" w:type="dxa"/>
            <w:vMerge w:val="restart"/>
            <w:shd w:val="clear" w:color="auto" w:fill="auto"/>
          </w:tcPr>
          <w:p w:rsidR="00992806" w:rsidRPr="00C43BE8" w:rsidRDefault="00992806" w:rsidP="00F90926">
            <w:pPr>
              <w:autoSpaceDE w:val="0"/>
              <w:autoSpaceDN w:val="0"/>
              <w:adjustRightInd w:val="0"/>
              <w:rPr>
                <w:b/>
                <w:sz w:val="20"/>
                <w:szCs w:val="20"/>
              </w:rPr>
            </w:pPr>
            <w:r w:rsidRPr="00C43BE8">
              <w:rPr>
                <w:b/>
                <w:bCs/>
                <w:sz w:val="20"/>
                <w:szCs w:val="20"/>
              </w:rPr>
              <w:t>2013.gada 3.ceturksnis</w:t>
            </w:r>
          </w:p>
        </w:tc>
        <w:tc>
          <w:tcPr>
            <w:tcW w:w="4689" w:type="dxa"/>
            <w:shd w:val="clear" w:color="auto" w:fill="auto"/>
            <w:vAlign w:val="center"/>
          </w:tcPr>
          <w:p w:rsidR="00992806" w:rsidRPr="00C43BE8" w:rsidRDefault="00992806" w:rsidP="00F90926">
            <w:pPr>
              <w:jc w:val="right"/>
              <w:rPr>
                <w:b/>
                <w:bCs/>
                <w:sz w:val="20"/>
                <w:szCs w:val="20"/>
              </w:rPr>
            </w:pPr>
            <w:r w:rsidRPr="00C43BE8">
              <w:rPr>
                <w:b/>
                <w:bCs/>
                <w:sz w:val="20"/>
                <w:szCs w:val="20"/>
              </w:rPr>
              <w:t>kopā</w:t>
            </w:r>
          </w:p>
        </w:tc>
        <w:tc>
          <w:tcPr>
            <w:tcW w:w="1133" w:type="dxa"/>
            <w:shd w:val="clear" w:color="auto" w:fill="auto"/>
            <w:vAlign w:val="center"/>
          </w:tcPr>
          <w:p w:rsidR="00992806" w:rsidRPr="00C43BE8" w:rsidRDefault="00992806" w:rsidP="00F90926">
            <w:pPr>
              <w:jc w:val="right"/>
              <w:rPr>
                <w:b/>
                <w:bCs/>
                <w:sz w:val="20"/>
                <w:szCs w:val="20"/>
              </w:rPr>
            </w:pPr>
            <w:r w:rsidRPr="00C43BE8">
              <w:rPr>
                <w:b/>
                <w:bCs/>
                <w:sz w:val="20"/>
                <w:szCs w:val="20"/>
              </w:rPr>
              <w:t>457 198</w:t>
            </w:r>
          </w:p>
        </w:tc>
        <w:tc>
          <w:tcPr>
            <w:tcW w:w="1129" w:type="dxa"/>
            <w:shd w:val="clear" w:color="auto" w:fill="auto"/>
            <w:vAlign w:val="center"/>
          </w:tcPr>
          <w:p w:rsidR="00992806" w:rsidRPr="00C43BE8" w:rsidRDefault="00992806" w:rsidP="00F90926">
            <w:pPr>
              <w:jc w:val="right"/>
              <w:rPr>
                <w:b/>
                <w:bCs/>
                <w:sz w:val="20"/>
                <w:szCs w:val="20"/>
              </w:rPr>
            </w:pPr>
            <w:r w:rsidRPr="00C43BE8">
              <w:rPr>
                <w:b/>
                <w:bCs/>
                <w:sz w:val="20"/>
                <w:szCs w:val="20"/>
              </w:rPr>
              <w:t>430 395</w:t>
            </w:r>
          </w:p>
        </w:tc>
        <w:tc>
          <w:tcPr>
            <w:tcW w:w="1092" w:type="dxa"/>
            <w:shd w:val="clear" w:color="auto" w:fill="auto"/>
            <w:vAlign w:val="center"/>
          </w:tcPr>
          <w:p w:rsidR="00992806" w:rsidRPr="00C43BE8" w:rsidRDefault="00992806" w:rsidP="00F90926">
            <w:pPr>
              <w:jc w:val="right"/>
              <w:rPr>
                <w:b/>
                <w:bCs/>
                <w:sz w:val="20"/>
                <w:szCs w:val="20"/>
              </w:rPr>
            </w:pPr>
            <w:r w:rsidRPr="00C43BE8">
              <w:rPr>
                <w:b/>
                <w:bCs/>
                <w:sz w:val="20"/>
                <w:szCs w:val="20"/>
              </w:rPr>
              <w:t>887 593</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vAlign w:val="center"/>
          </w:tcPr>
          <w:p w:rsidR="00992806" w:rsidRPr="00C43BE8" w:rsidRDefault="00992806" w:rsidP="00F90926">
            <w:pPr>
              <w:jc w:val="right"/>
              <w:rPr>
                <w:sz w:val="20"/>
                <w:szCs w:val="20"/>
              </w:rPr>
            </w:pPr>
            <w:r w:rsidRPr="00C43BE8">
              <w:rPr>
                <w:sz w:val="20"/>
                <w:szCs w:val="20"/>
              </w:rPr>
              <w:t>Vidējais veicamo iemaksu objekts ir</w:t>
            </w:r>
            <w:r w:rsidRPr="00C43BE8">
              <w:rPr>
                <w:b/>
                <w:bCs/>
                <w:sz w:val="20"/>
                <w:szCs w:val="20"/>
              </w:rPr>
              <w:t xml:space="preserve"> 0,00 </w:t>
            </w:r>
            <w:proofErr w:type="spellStart"/>
            <w:r w:rsidRPr="00C43BE8">
              <w:rPr>
                <w:b/>
                <w:bCs/>
                <w:sz w:val="20"/>
                <w:szCs w:val="20"/>
              </w:rPr>
              <w:t>euro</w:t>
            </w:r>
            <w:proofErr w:type="spellEnd"/>
          </w:p>
        </w:tc>
        <w:tc>
          <w:tcPr>
            <w:tcW w:w="1133" w:type="dxa"/>
            <w:shd w:val="clear" w:color="auto" w:fill="auto"/>
            <w:vAlign w:val="center"/>
          </w:tcPr>
          <w:p w:rsidR="00992806" w:rsidRPr="00C43BE8" w:rsidRDefault="00992806" w:rsidP="00F90926">
            <w:pPr>
              <w:jc w:val="right"/>
              <w:rPr>
                <w:sz w:val="20"/>
                <w:szCs w:val="20"/>
              </w:rPr>
            </w:pPr>
            <w:r w:rsidRPr="00C43BE8">
              <w:rPr>
                <w:sz w:val="20"/>
                <w:szCs w:val="20"/>
              </w:rPr>
              <w:t>23 653</w:t>
            </w:r>
          </w:p>
        </w:tc>
        <w:tc>
          <w:tcPr>
            <w:tcW w:w="1129" w:type="dxa"/>
            <w:shd w:val="clear" w:color="auto" w:fill="auto"/>
            <w:vAlign w:val="center"/>
          </w:tcPr>
          <w:p w:rsidR="00992806" w:rsidRPr="00C43BE8" w:rsidRDefault="00992806" w:rsidP="00F90926">
            <w:pPr>
              <w:jc w:val="right"/>
              <w:rPr>
                <w:sz w:val="20"/>
                <w:szCs w:val="20"/>
              </w:rPr>
            </w:pPr>
            <w:r w:rsidRPr="00C43BE8">
              <w:rPr>
                <w:sz w:val="20"/>
                <w:szCs w:val="20"/>
              </w:rPr>
              <w:t>13 782</w:t>
            </w:r>
          </w:p>
        </w:tc>
        <w:tc>
          <w:tcPr>
            <w:tcW w:w="1092" w:type="dxa"/>
            <w:shd w:val="clear" w:color="auto" w:fill="auto"/>
            <w:vAlign w:val="center"/>
          </w:tcPr>
          <w:p w:rsidR="00992806" w:rsidRPr="00C43BE8" w:rsidRDefault="00992806" w:rsidP="00F90926">
            <w:pPr>
              <w:jc w:val="right"/>
              <w:rPr>
                <w:sz w:val="20"/>
                <w:szCs w:val="20"/>
              </w:rPr>
            </w:pPr>
            <w:r w:rsidRPr="00C43BE8">
              <w:rPr>
                <w:sz w:val="20"/>
                <w:szCs w:val="20"/>
              </w:rPr>
              <w:t>37 435</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vAlign w:val="center"/>
          </w:tcPr>
          <w:p w:rsidR="00992806" w:rsidRPr="00C43BE8" w:rsidRDefault="00992806" w:rsidP="00F90926">
            <w:pPr>
              <w:jc w:val="right"/>
              <w:rPr>
                <w:sz w:val="20"/>
                <w:szCs w:val="20"/>
              </w:rPr>
            </w:pPr>
            <w:r w:rsidRPr="00C43BE8">
              <w:rPr>
                <w:sz w:val="20"/>
                <w:szCs w:val="20"/>
              </w:rPr>
              <w:t xml:space="preserve">Vidējais veicamo iemaksu objekts ir </w:t>
            </w:r>
            <w:r w:rsidRPr="00C43BE8">
              <w:rPr>
                <w:b/>
                <w:bCs/>
                <w:sz w:val="20"/>
                <w:szCs w:val="20"/>
              </w:rPr>
              <w:t xml:space="preserve">0,01 - 284,58 </w:t>
            </w:r>
            <w:proofErr w:type="spellStart"/>
            <w:r w:rsidRPr="00C43BE8">
              <w:rPr>
                <w:b/>
                <w:bCs/>
                <w:sz w:val="20"/>
                <w:szCs w:val="20"/>
              </w:rPr>
              <w:t>euro</w:t>
            </w:r>
            <w:proofErr w:type="spellEnd"/>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3" w:type="dxa"/>
            <w:shd w:val="clear" w:color="auto" w:fill="auto"/>
            <w:vAlign w:val="center"/>
          </w:tcPr>
          <w:p w:rsidR="00992806" w:rsidRPr="00C43BE8" w:rsidRDefault="00992806" w:rsidP="00F90926">
            <w:pPr>
              <w:jc w:val="right"/>
              <w:rPr>
                <w:sz w:val="20"/>
                <w:szCs w:val="20"/>
              </w:rPr>
            </w:pPr>
            <w:r w:rsidRPr="00C43BE8">
              <w:rPr>
                <w:sz w:val="20"/>
                <w:szCs w:val="20"/>
              </w:rPr>
              <w:t>120 660</w:t>
            </w:r>
          </w:p>
        </w:tc>
        <w:tc>
          <w:tcPr>
            <w:tcW w:w="1129" w:type="dxa"/>
            <w:shd w:val="clear" w:color="auto" w:fill="auto"/>
            <w:vAlign w:val="center"/>
          </w:tcPr>
          <w:p w:rsidR="00992806" w:rsidRPr="00C43BE8" w:rsidRDefault="00992806" w:rsidP="00F90926">
            <w:pPr>
              <w:jc w:val="right"/>
              <w:rPr>
                <w:sz w:val="20"/>
                <w:szCs w:val="20"/>
              </w:rPr>
            </w:pPr>
            <w:r w:rsidRPr="00C43BE8">
              <w:rPr>
                <w:sz w:val="20"/>
                <w:szCs w:val="20"/>
              </w:rPr>
              <w:t>120 758</w:t>
            </w:r>
          </w:p>
        </w:tc>
        <w:tc>
          <w:tcPr>
            <w:tcW w:w="1092" w:type="dxa"/>
            <w:shd w:val="clear" w:color="auto" w:fill="auto"/>
            <w:vAlign w:val="center"/>
          </w:tcPr>
          <w:p w:rsidR="00992806" w:rsidRPr="00C43BE8" w:rsidRDefault="00992806" w:rsidP="00F90926">
            <w:pPr>
              <w:jc w:val="right"/>
              <w:rPr>
                <w:sz w:val="20"/>
                <w:szCs w:val="20"/>
              </w:rPr>
            </w:pPr>
            <w:r w:rsidRPr="00C43BE8">
              <w:rPr>
                <w:sz w:val="20"/>
                <w:szCs w:val="20"/>
              </w:rPr>
              <w:t>241 418</w:t>
            </w:r>
          </w:p>
        </w:tc>
      </w:tr>
      <w:tr w:rsidR="00992806" w:rsidRPr="00C43BE8" w:rsidTr="00F90926">
        <w:tc>
          <w:tcPr>
            <w:tcW w:w="5933" w:type="dxa"/>
            <w:gridSpan w:val="2"/>
            <w:shd w:val="clear" w:color="auto" w:fill="auto"/>
          </w:tcPr>
          <w:p w:rsidR="00992806" w:rsidRPr="00C43BE8" w:rsidRDefault="00992806" w:rsidP="00F90926">
            <w:pPr>
              <w:jc w:val="right"/>
              <w:rPr>
                <w:sz w:val="20"/>
                <w:szCs w:val="20"/>
              </w:rPr>
            </w:pPr>
            <w:r w:rsidRPr="009E66F5">
              <w:rPr>
                <w:b/>
                <w:i/>
                <w:sz w:val="20"/>
                <w:szCs w:val="20"/>
              </w:rPr>
              <w:lastRenderedPageBreak/>
              <w:t>% kopā</w:t>
            </w:r>
          </w:p>
        </w:tc>
        <w:tc>
          <w:tcPr>
            <w:tcW w:w="1133" w:type="dxa"/>
            <w:shd w:val="clear" w:color="auto" w:fill="auto"/>
            <w:vAlign w:val="center"/>
          </w:tcPr>
          <w:p w:rsidR="00992806" w:rsidRPr="00992806" w:rsidRDefault="00992806" w:rsidP="00F90926">
            <w:pPr>
              <w:jc w:val="right"/>
              <w:rPr>
                <w:b/>
                <w:i/>
                <w:sz w:val="20"/>
                <w:szCs w:val="20"/>
              </w:rPr>
            </w:pPr>
            <w:r>
              <w:rPr>
                <w:b/>
                <w:i/>
                <w:sz w:val="20"/>
                <w:szCs w:val="20"/>
              </w:rPr>
              <w:t>102,2</w:t>
            </w:r>
          </w:p>
        </w:tc>
        <w:tc>
          <w:tcPr>
            <w:tcW w:w="1129" w:type="dxa"/>
            <w:shd w:val="clear" w:color="auto" w:fill="auto"/>
            <w:vAlign w:val="center"/>
          </w:tcPr>
          <w:p w:rsidR="00992806" w:rsidRPr="00992806" w:rsidRDefault="00992806" w:rsidP="00F90926">
            <w:pPr>
              <w:jc w:val="right"/>
              <w:rPr>
                <w:b/>
                <w:i/>
                <w:sz w:val="20"/>
                <w:szCs w:val="20"/>
              </w:rPr>
            </w:pPr>
            <w:r>
              <w:rPr>
                <w:b/>
                <w:i/>
                <w:sz w:val="20"/>
                <w:szCs w:val="20"/>
              </w:rPr>
              <w:t>99,4</w:t>
            </w:r>
          </w:p>
        </w:tc>
        <w:tc>
          <w:tcPr>
            <w:tcW w:w="1092" w:type="dxa"/>
            <w:shd w:val="clear" w:color="auto" w:fill="auto"/>
            <w:vAlign w:val="center"/>
          </w:tcPr>
          <w:p w:rsidR="00992806" w:rsidRPr="00992806" w:rsidRDefault="00992806" w:rsidP="00F90926">
            <w:pPr>
              <w:jc w:val="right"/>
              <w:rPr>
                <w:b/>
                <w:i/>
                <w:sz w:val="20"/>
                <w:szCs w:val="20"/>
              </w:rPr>
            </w:pPr>
            <w:r>
              <w:rPr>
                <w:b/>
                <w:i/>
                <w:sz w:val="20"/>
                <w:szCs w:val="20"/>
              </w:rPr>
              <w:t>100,8</w:t>
            </w:r>
          </w:p>
        </w:tc>
      </w:tr>
      <w:tr w:rsidR="00992806" w:rsidRPr="00C43BE8" w:rsidTr="00F90926">
        <w:tc>
          <w:tcPr>
            <w:tcW w:w="1244" w:type="dxa"/>
            <w:vMerge w:val="restart"/>
            <w:shd w:val="clear" w:color="auto" w:fill="auto"/>
          </w:tcPr>
          <w:p w:rsidR="00992806" w:rsidRPr="00C43BE8" w:rsidRDefault="00992806" w:rsidP="00992806">
            <w:pPr>
              <w:autoSpaceDE w:val="0"/>
              <w:autoSpaceDN w:val="0"/>
              <w:adjustRightInd w:val="0"/>
              <w:jc w:val="center"/>
              <w:rPr>
                <w:b/>
                <w:sz w:val="20"/>
                <w:szCs w:val="20"/>
              </w:rPr>
            </w:pPr>
            <w:r w:rsidRPr="00C43BE8">
              <w:rPr>
                <w:b/>
                <w:bCs/>
                <w:sz w:val="20"/>
                <w:szCs w:val="20"/>
              </w:rPr>
              <w:t>201</w:t>
            </w:r>
            <w:r>
              <w:rPr>
                <w:b/>
                <w:bCs/>
                <w:sz w:val="20"/>
                <w:szCs w:val="20"/>
              </w:rPr>
              <w:t>4</w:t>
            </w:r>
            <w:r w:rsidRPr="00C43BE8">
              <w:rPr>
                <w:b/>
                <w:bCs/>
                <w:sz w:val="20"/>
                <w:szCs w:val="20"/>
              </w:rPr>
              <w:t xml:space="preserve">.gada </w:t>
            </w:r>
            <w:r>
              <w:rPr>
                <w:b/>
                <w:bCs/>
                <w:sz w:val="20"/>
                <w:szCs w:val="20"/>
              </w:rPr>
              <w:t>4</w:t>
            </w:r>
            <w:r w:rsidRPr="00C43BE8">
              <w:rPr>
                <w:b/>
                <w:bCs/>
                <w:sz w:val="20"/>
                <w:szCs w:val="20"/>
              </w:rPr>
              <w:t>.ceturksnis</w:t>
            </w: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b/>
                <w:bCs/>
                <w:sz w:val="20"/>
                <w:szCs w:val="20"/>
              </w:rPr>
              <w:t>kopā</w:t>
            </w:r>
          </w:p>
        </w:tc>
        <w:tc>
          <w:tcPr>
            <w:tcW w:w="1133" w:type="dxa"/>
            <w:shd w:val="clear" w:color="auto" w:fill="auto"/>
            <w:vAlign w:val="center"/>
          </w:tcPr>
          <w:p w:rsidR="00992806" w:rsidRPr="00C43BE8" w:rsidRDefault="00992806" w:rsidP="00992806">
            <w:pPr>
              <w:jc w:val="right"/>
              <w:rPr>
                <w:b/>
                <w:bCs/>
                <w:sz w:val="20"/>
                <w:szCs w:val="20"/>
              </w:rPr>
            </w:pPr>
            <w:r w:rsidRPr="00C43BE8">
              <w:rPr>
                <w:b/>
                <w:bCs/>
                <w:sz w:val="20"/>
                <w:szCs w:val="20"/>
              </w:rPr>
              <w:t>4</w:t>
            </w:r>
            <w:r>
              <w:rPr>
                <w:b/>
                <w:bCs/>
                <w:sz w:val="20"/>
                <w:szCs w:val="20"/>
              </w:rPr>
              <w:t>56</w:t>
            </w:r>
            <w:r w:rsidRPr="00C43BE8">
              <w:rPr>
                <w:b/>
                <w:bCs/>
                <w:sz w:val="20"/>
                <w:szCs w:val="20"/>
              </w:rPr>
              <w:t xml:space="preserve"> </w:t>
            </w:r>
            <w:r>
              <w:rPr>
                <w:b/>
                <w:bCs/>
                <w:sz w:val="20"/>
                <w:szCs w:val="20"/>
              </w:rPr>
              <w:t>9940</w:t>
            </w:r>
          </w:p>
        </w:tc>
        <w:tc>
          <w:tcPr>
            <w:tcW w:w="1129" w:type="dxa"/>
            <w:shd w:val="clear" w:color="auto" w:fill="auto"/>
            <w:vAlign w:val="center"/>
          </w:tcPr>
          <w:p w:rsidR="00992806" w:rsidRPr="00C43BE8" w:rsidRDefault="00992806" w:rsidP="00992806">
            <w:pPr>
              <w:jc w:val="right"/>
              <w:rPr>
                <w:b/>
                <w:bCs/>
                <w:sz w:val="20"/>
                <w:szCs w:val="20"/>
              </w:rPr>
            </w:pPr>
            <w:r w:rsidRPr="00C43BE8">
              <w:rPr>
                <w:b/>
                <w:bCs/>
                <w:sz w:val="20"/>
                <w:szCs w:val="20"/>
              </w:rPr>
              <w:t>42</w:t>
            </w:r>
            <w:r>
              <w:rPr>
                <w:b/>
                <w:bCs/>
                <w:sz w:val="20"/>
                <w:szCs w:val="20"/>
              </w:rPr>
              <w:t>7</w:t>
            </w:r>
            <w:r w:rsidRPr="00C43BE8">
              <w:rPr>
                <w:b/>
                <w:bCs/>
                <w:sz w:val="20"/>
                <w:szCs w:val="20"/>
              </w:rPr>
              <w:t xml:space="preserve"> </w:t>
            </w:r>
            <w:r>
              <w:rPr>
                <w:b/>
                <w:bCs/>
                <w:sz w:val="20"/>
                <w:szCs w:val="20"/>
              </w:rPr>
              <w:t>029</w:t>
            </w:r>
          </w:p>
        </w:tc>
        <w:tc>
          <w:tcPr>
            <w:tcW w:w="1092" w:type="dxa"/>
            <w:shd w:val="clear" w:color="auto" w:fill="auto"/>
            <w:vAlign w:val="center"/>
          </w:tcPr>
          <w:p w:rsidR="00992806" w:rsidRPr="00C43BE8" w:rsidRDefault="00992806" w:rsidP="00992806">
            <w:pPr>
              <w:jc w:val="right"/>
              <w:rPr>
                <w:b/>
                <w:bCs/>
                <w:sz w:val="20"/>
                <w:szCs w:val="20"/>
              </w:rPr>
            </w:pPr>
            <w:r w:rsidRPr="00C43BE8">
              <w:rPr>
                <w:b/>
                <w:bCs/>
                <w:sz w:val="20"/>
                <w:szCs w:val="20"/>
              </w:rPr>
              <w:t>8</w:t>
            </w:r>
            <w:r>
              <w:rPr>
                <w:b/>
                <w:bCs/>
                <w:sz w:val="20"/>
                <w:szCs w:val="20"/>
              </w:rPr>
              <w:t>84</w:t>
            </w:r>
            <w:r w:rsidRPr="00C43BE8">
              <w:rPr>
                <w:b/>
                <w:bCs/>
                <w:sz w:val="20"/>
                <w:szCs w:val="20"/>
              </w:rPr>
              <w:t xml:space="preserve"> </w:t>
            </w:r>
            <w:r>
              <w:rPr>
                <w:b/>
                <w:bCs/>
                <w:sz w:val="20"/>
                <w:szCs w:val="20"/>
              </w:rPr>
              <w:t>023</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proofErr w:type="spellStart"/>
            <w:r w:rsidRPr="00C43BE8">
              <w:rPr>
                <w:b/>
                <w:bCs/>
                <w:sz w:val="20"/>
                <w:szCs w:val="20"/>
              </w:rPr>
              <w:t>euro</w:t>
            </w:r>
            <w:proofErr w:type="spellEnd"/>
          </w:p>
        </w:tc>
        <w:tc>
          <w:tcPr>
            <w:tcW w:w="1133" w:type="dxa"/>
            <w:shd w:val="clear" w:color="auto" w:fill="auto"/>
            <w:vAlign w:val="center"/>
          </w:tcPr>
          <w:p w:rsidR="00992806" w:rsidRPr="00C43BE8" w:rsidRDefault="00992806" w:rsidP="00992806">
            <w:pPr>
              <w:jc w:val="right"/>
              <w:rPr>
                <w:sz w:val="20"/>
                <w:szCs w:val="20"/>
              </w:rPr>
            </w:pPr>
            <w:r w:rsidRPr="00C43BE8">
              <w:rPr>
                <w:sz w:val="20"/>
                <w:szCs w:val="20"/>
              </w:rPr>
              <w:t>2</w:t>
            </w:r>
            <w:r>
              <w:rPr>
                <w:sz w:val="20"/>
                <w:szCs w:val="20"/>
              </w:rPr>
              <w:t>3</w:t>
            </w:r>
            <w:r w:rsidRPr="00C43BE8">
              <w:rPr>
                <w:sz w:val="20"/>
                <w:szCs w:val="20"/>
              </w:rPr>
              <w:t xml:space="preserve"> </w:t>
            </w:r>
            <w:r>
              <w:rPr>
                <w:sz w:val="20"/>
                <w:szCs w:val="20"/>
              </w:rPr>
              <w:t>528</w:t>
            </w:r>
          </w:p>
        </w:tc>
        <w:tc>
          <w:tcPr>
            <w:tcW w:w="1129" w:type="dxa"/>
            <w:shd w:val="clear" w:color="auto" w:fill="auto"/>
            <w:vAlign w:val="center"/>
          </w:tcPr>
          <w:p w:rsidR="00992806" w:rsidRPr="00C43BE8" w:rsidRDefault="00992806" w:rsidP="00992806">
            <w:pPr>
              <w:jc w:val="right"/>
              <w:rPr>
                <w:sz w:val="20"/>
                <w:szCs w:val="20"/>
              </w:rPr>
            </w:pPr>
            <w:r w:rsidRPr="00C43BE8">
              <w:rPr>
                <w:sz w:val="20"/>
                <w:szCs w:val="20"/>
              </w:rPr>
              <w:t>1</w:t>
            </w:r>
            <w:r>
              <w:rPr>
                <w:sz w:val="20"/>
                <w:szCs w:val="20"/>
              </w:rPr>
              <w:t>4</w:t>
            </w:r>
            <w:r w:rsidRPr="00C43BE8">
              <w:rPr>
                <w:sz w:val="20"/>
                <w:szCs w:val="20"/>
              </w:rPr>
              <w:t xml:space="preserve"> </w:t>
            </w:r>
            <w:r>
              <w:rPr>
                <w:sz w:val="20"/>
                <w:szCs w:val="20"/>
              </w:rPr>
              <w:t>499</w:t>
            </w:r>
          </w:p>
        </w:tc>
        <w:tc>
          <w:tcPr>
            <w:tcW w:w="1092" w:type="dxa"/>
            <w:shd w:val="clear" w:color="auto" w:fill="auto"/>
            <w:vAlign w:val="center"/>
          </w:tcPr>
          <w:p w:rsidR="00992806" w:rsidRPr="00C43BE8" w:rsidRDefault="00992806" w:rsidP="00992806">
            <w:pPr>
              <w:jc w:val="right"/>
              <w:rPr>
                <w:sz w:val="20"/>
                <w:szCs w:val="20"/>
              </w:rPr>
            </w:pPr>
            <w:r>
              <w:rPr>
                <w:sz w:val="20"/>
                <w:szCs w:val="20"/>
              </w:rPr>
              <w:t>38</w:t>
            </w:r>
            <w:r w:rsidRPr="00C43BE8">
              <w:rPr>
                <w:sz w:val="20"/>
                <w:szCs w:val="20"/>
              </w:rPr>
              <w:t xml:space="preserve"> </w:t>
            </w:r>
            <w:r>
              <w:rPr>
                <w:sz w:val="20"/>
                <w:szCs w:val="20"/>
              </w:rPr>
              <w:t>027</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tcPr>
          <w:p w:rsidR="00992806" w:rsidRPr="00C43BE8" w:rsidRDefault="00992806" w:rsidP="00F90926">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 xml:space="preserve">0,01 - </w:t>
            </w:r>
            <w:r>
              <w:rPr>
                <w:b/>
                <w:bCs/>
                <w:sz w:val="20"/>
                <w:szCs w:val="20"/>
              </w:rPr>
              <w:t>320</w:t>
            </w:r>
            <w:r w:rsidRPr="00C43BE8">
              <w:rPr>
                <w:b/>
                <w:bCs/>
                <w:sz w:val="20"/>
                <w:szCs w:val="20"/>
              </w:rPr>
              <w:t xml:space="preserve"> </w:t>
            </w:r>
            <w:proofErr w:type="spellStart"/>
            <w:r w:rsidRPr="00C43BE8">
              <w:rPr>
                <w:b/>
                <w:bCs/>
                <w:sz w:val="20"/>
                <w:szCs w:val="20"/>
              </w:rPr>
              <w:t>euro</w:t>
            </w:r>
            <w:proofErr w:type="spellEnd"/>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3" w:type="dxa"/>
            <w:shd w:val="clear" w:color="auto" w:fill="auto"/>
            <w:vAlign w:val="center"/>
          </w:tcPr>
          <w:p w:rsidR="00992806" w:rsidRPr="00C43BE8" w:rsidRDefault="00992806" w:rsidP="00992806">
            <w:pPr>
              <w:jc w:val="right"/>
              <w:rPr>
                <w:sz w:val="20"/>
                <w:szCs w:val="20"/>
              </w:rPr>
            </w:pPr>
            <w:r w:rsidRPr="00C43BE8">
              <w:rPr>
                <w:sz w:val="20"/>
                <w:szCs w:val="20"/>
              </w:rPr>
              <w:t>12</w:t>
            </w:r>
            <w:r>
              <w:rPr>
                <w:sz w:val="20"/>
                <w:szCs w:val="20"/>
              </w:rPr>
              <w:t>2</w:t>
            </w:r>
            <w:r w:rsidRPr="00C43BE8">
              <w:rPr>
                <w:sz w:val="20"/>
                <w:szCs w:val="20"/>
              </w:rPr>
              <w:t xml:space="preserve"> </w:t>
            </w:r>
            <w:r>
              <w:rPr>
                <w:sz w:val="20"/>
                <w:szCs w:val="20"/>
              </w:rPr>
              <w:t>320</w:t>
            </w:r>
          </w:p>
        </w:tc>
        <w:tc>
          <w:tcPr>
            <w:tcW w:w="1129" w:type="dxa"/>
            <w:shd w:val="clear" w:color="auto" w:fill="auto"/>
            <w:vAlign w:val="center"/>
          </w:tcPr>
          <w:p w:rsidR="00992806" w:rsidRPr="00C43BE8" w:rsidRDefault="00992806" w:rsidP="00992806">
            <w:pPr>
              <w:jc w:val="right"/>
              <w:rPr>
                <w:sz w:val="20"/>
                <w:szCs w:val="20"/>
              </w:rPr>
            </w:pPr>
            <w:r w:rsidRPr="00C43BE8">
              <w:rPr>
                <w:sz w:val="20"/>
                <w:szCs w:val="20"/>
              </w:rPr>
              <w:t>1</w:t>
            </w:r>
            <w:r>
              <w:rPr>
                <w:sz w:val="20"/>
                <w:szCs w:val="20"/>
              </w:rPr>
              <w:t>18</w:t>
            </w:r>
            <w:r w:rsidRPr="00C43BE8">
              <w:rPr>
                <w:sz w:val="20"/>
                <w:szCs w:val="20"/>
              </w:rPr>
              <w:t xml:space="preserve"> </w:t>
            </w:r>
            <w:r>
              <w:rPr>
                <w:sz w:val="20"/>
                <w:szCs w:val="20"/>
              </w:rPr>
              <w:t>713</w:t>
            </w:r>
          </w:p>
        </w:tc>
        <w:tc>
          <w:tcPr>
            <w:tcW w:w="1092" w:type="dxa"/>
            <w:shd w:val="clear" w:color="auto" w:fill="auto"/>
            <w:vAlign w:val="center"/>
          </w:tcPr>
          <w:p w:rsidR="00992806" w:rsidRPr="00C43BE8" w:rsidRDefault="00992806" w:rsidP="00992806">
            <w:pPr>
              <w:jc w:val="right"/>
              <w:rPr>
                <w:sz w:val="20"/>
                <w:szCs w:val="20"/>
              </w:rPr>
            </w:pPr>
            <w:r w:rsidRPr="00C43BE8">
              <w:rPr>
                <w:sz w:val="20"/>
                <w:szCs w:val="20"/>
              </w:rPr>
              <w:t>2</w:t>
            </w:r>
            <w:r>
              <w:rPr>
                <w:sz w:val="20"/>
                <w:szCs w:val="20"/>
              </w:rPr>
              <w:t>41</w:t>
            </w:r>
            <w:r w:rsidRPr="00C43BE8">
              <w:rPr>
                <w:sz w:val="20"/>
                <w:szCs w:val="20"/>
              </w:rPr>
              <w:t xml:space="preserve"> </w:t>
            </w:r>
            <w:r>
              <w:rPr>
                <w:sz w:val="20"/>
                <w:szCs w:val="20"/>
              </w:rPr>
              <w:t>033</w:t>
            </w:r>
          </w:p>
        </w:tc>
      </w:tr>
      <w:tr w:rsidR="00992806" w:rsidRPr="00C43BE8" w:rsidTr="00F90926">
        <w:tc>
          <w:tcPr>
            <w:tcW w:w="1244" w:type="dxa"/>
            <w:vMerge w:val="restart"/>
            <w:shd w:val="clear" w:color="auto" w:fill="auto"/>
          </w:tcPr>
          <w:p w:rsidR="00992806" w:rsidRPr="00C43BE8" w:rsidRDefault="00992806" w:rsidP="00F90926">
            <w:pPr>
              <w:autoSpaceDE w:val="0"/>
              <w:autoSpaceDN w:val="0"/>
              <w:adjustRightInd w:val="0"/>
              <w:jc w:val="center"/>
              <w:rPr>
                <w:b/>
                <w:sz w:val="20"/>
                <w:szCs w:val="20"/>
              </w:rPr>
            </w:pPr>
            <w:r w:rsidRPr="00C43BE8">
              <w:rPr>
                <w:b/>
                <w:bCs/>
                <w:sz w:val="20"/>
                <w:szCs w:val="20"/>
              </w:rPr>
              <w:t>2013.gada 4.ceturksnis</w:t>
            </w:r>
          </w:p>
        </w:tc>
        <w:tc>
          <w:tcPr>
            <w:tcW w:w="4689" w:type="dxa"/>
            <w:shd w:val="clear" w:color="auto" w:fill="auto"/>
            <w:vAlign w:val="center"/>
          </w:tcPr>
          <w:p w:rsidR="00992806" w:rsidRPr="00C43BE8" w:rsidRDefault="00992806" w:rsidP="00F90926">
            <w:pPr>
              <w:jc w:val="right"/>
              <w:rPr>
                <w:b/>
                <w:bCs/>
                <w:sz w:val="20"/>
                <w:szCs w:val="20"/>
              </w:rPr>
            </w:pPr>
            <w:r w:rsidRPr="00C43BE8">
              <w:rPr>
                <w:b/>
                <w:bCs/>
                <w:sz w:val="20"/>
                <w:szCs w:val="20"/>
              </w:rPr>
              <w:t>kopā</w:t>
            </w:r>
          </w:p>
        </w:tc>
        <w:tc>
          <w:tcPr>
            <w:tcW w:w="1133" w:type="dxa"/>
            <w:shd w:val="clear" w:color="auto" w:fill="auto"/>
            <w:vAlign w:val="center"/>
          </w:tcPr>
          <w:p w:rsidR="00992806" w:rsidRPr="00C43BE8" w:rsidRDefault="00992806" w:rsidP="00F90926">
            <w:pPr>
              <w:jc w:val="right"/>
              <w:rPr>
                <w:b/>
                <w:bCs/>
                <w:sz w:val="20"/>
                <w:szCs w:val="20"/>
              </w:rPr>
            </w:pPr>
            <w:r w:rsidRPr="00C43BE8">
              <w:rPr>
                <w:b/>
                <w:bCs/>
                <w:sz w:val="20"/>
                <w:szCs w:val="20"/>
              </w:rPr>
              <w:t>448 207</w:t>
            </w:r>
          </w:p>
        </w:tc>
        <w:tc>
          <w:tcPr>
            <w:tcW w:w="1129" w:type="dxa"/>
            <w:shd w:val="clear" w:color="auto" w:fill="auto"/>
            <w:vAlign w:val="center"/>
          </w:tcPr>
          <w:p w:rsidR="00992806" w:rsidRPr="00C43BE8" w:rsidRDefault="00992806" w:rsidP="00F90926">
            <w:pPr>
              <w:jc w:val="right"/>
              <w:rPr>
                <w:b/>
                <w:bCs/>
                <w:sz w:val="20"/>
                <w:szCs w:val="20"/>
              </w:rPr>
            </w:pPr>
            <w:r w:rsidRPr="00C43BE8">
              <w:rPr>
                <w:b/>
                <w:bCs/>
                <w:sz w:val="20"/>
                <w:szCs w:val="20"/>
              </w:rPr>
              <w:t>420 007</w:t>
            </w:r>
          </w:p>
        </w:tc>
        <w:tc>
          <w:tcPr>
            <w:tcW w:w="1092" w:type="dxa"/>
            <w:shd w:val="clear" w:color="auto" w:fill="auto"/>
            <w:vAlign w:val="center"/>
          </w:tcPr>
          <w:p w:rsidR="00992806" w:rsidRPr="00C43BE8" w:rsidRDefault="00992806" w:rsidP="00F90926">
            <w:pPr>
              <w:jc w:val="right"/>
              <w:rPr>
                <w:b/>
                <w:bCs/>
                <w:sz w:val="20"/>
                <w:szCs w:val="20"/>
              </w:rPr>
            </w:pPr>
            <w:r w:rsidRPr="00C43BE8">
              <w:rPr>
                <w:b/>
                <w:bCs/>
                <w:sz w:val="20"/>
                <w:szCs w:val="20"/>
              </w:rPr>
              <w:t>868 214</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vAlign w:val="center"/>
          </w:tcPr>
          <w:p w:rsidR="00992806" w:rsidRPr="00C43BE8" w:rsidRDefault="00992806" w:rsidP="00F90926">
            <w:pPr>
              <w:jc w:val="right"/>
              <w:rPr>
                <w:sz w:val="20"/>
                <w:szCs w:val="20"/>
              </w:rPr>
            </w:pPr>
            <w:r w:rsidRPr="00C43BE8">
              <w:rPr>
                <w:sz w:val="20"/>
                <w:szCs w:val="20"/>
              </w:rPr>
              <w:t>Vidējais veicamo iemaksu objekts ir</w:t>
            </w:r>
            <w:r w:rsidRPr="00C43BE8">
              <w:rPr>
                <w:b/>
                <w:bCs/>
                <w:sz w:val="20"/>
                <w:szCs w:val="20"/>
              </w:rPr>
              <w:t xml:space="preserve"> 0,00 </w:t>
            </w:r>
            <w:proofErr w:type="spellStart"/>
            <w:r w:rsidRPr="00C43BE8">
              <w:rPr>
                <w:b/>
                <w:bCs/>
                <w:sz w:val="20"/>
                <w:szCs w:val="20"/>
              </w:rPr>
              <w:t>euro</w:t>
            </w:r>
            <w:proofErr w:type="spellEnd"/>
          </w:p>
        </w:tc>
        <w:tc>
          <w:tcPr>
            <w:tcW w:w="1133" w:type="dxa"/>
            <w:shd w:val="clear" w:color="auto" w:fill="auto"/>
            <w:vAlign w:val="center"/>
          </w:tcPr>
          <w:p w:rsidR="00992806" w:rsidRPr="00C43BE8" w:rsidRDefault="00992806" w:rsidP="00F90926">
            <w:pPr>
              <w:jc w:val="right"/>
              <w:rPr>
                <w:sz w:val="20"/>
                <w:szCs w:val="20"/>
              </w:rPr>
            </w:pPr>
            <w:r w:rsidRPr="00C43BE8">
              <w:rPr>
                <w:sz w:val="20"/>
                <w:szCs w:val="20"/>
              </w:rPr>
              <w:t>21 665</w:t>
            </w:r>
          </w:p>
        </w:tc>
        <w:tc>
          <w:tcPr>
            <w:tcW w:w="1129" w:type="dxa"/>
            <w:shd w:val="clear" w:color="auto" w:fill="auto"/>
            <w:vAlign w:val="center"/>
          </w:tcPr>
          <w:p w:rsidR="00992806" w:rsidRPr="00C43BE8" w:rsidRDefault="00992806" w:rsidP="00F90926">
            <w:pPr>
              <w:jc w:val="right"/>
              <w:rPr>
                <w:sz w:val="20"/>
                <w:szCs w:val="20"/>
              </w:rPr>
            </w:pPr>
            <w:r w:rsidRPr="00C43BE8">
              <w:rPr>
                <w:sz w:val="20"/>
                <w:szCs w:val="20"/>
              </w:rPr>
              <w:t>13 228</w:t>
            </w:r>
          </w:p>
        </w:tc>
        <w:tc>
          <w:tcPr>
            <w:tcW w:w="1092" w:type="dxa"/>
            <w:shd w:val="clear" w:color="auto" w:fill="auto"/>
            <w:vAlign w:val="center"/>
          </w:tcPr>
          <w:p w:rsidR="00992806" w:rsidRPr="00C43BE8" w:rsidRDefault="00992806" w:rsidP="00F90926">
            <w:pPr>
              <w:jc w:val="right"/>
              <w:rPr>
                <w:sz w:val="20"/>
                <w:szCs w:val="20"/>
              </w:rPr>
            </w:pPr>
            <w:r w:rsidRPr="00C43BE8">
              <w:rPr>
                <w:sz w:val="20"/>
                <w:szCs w:val="20"/>
              </w:rPr>
              <w:t>34 893</w:t>
            </w:r>
          </w:p>
        </w:tc>
      </w:tr>
      <w:tr w:rsidR="00992806" w:rsidRPr="00C43BE8" w:rsidTr="00F90926">
        <w:tc>
          <w:tcPr>
            <w:tcW w:w="1244" w:type="dxa"/>
            <w:vMerge/>
            <w:shd w:val="clear" w:color="auto" w:fill="auto"/>
          </w:tcPr>
          <w:p w:rsidR="00992806" w:rsidRPr="00C43BE8" w:rsidRDefault="00992806" w:rsidP="00F90926">
            <w:pPr>
              <w:autoSpaceDE w:val="0"/>
              <w:autoSpaceDN w:val="0"/>
              <w:adjustRightInd w:val="0"/>
              <w:rPr>
                <w:b/>
                <w:sz w:val="20"/>
                <w:szCs w:val="20"/>
              </w:rPr>
            </w:pPr>
          </w:p>
        </w:tc>
        <w:tc>
          <w:tcPr>
            <w:tcW w:w="4689" w:type="dxa"/>
            <w:shd w:val="clear" w:color="auto" w:fill="auto"/>
            <w:vAlign w:val="center"/>
          </w:tcPr>
          <w:p w:rsidR="00992806" w:rsidRPr="00C43BE8" w:rsidRDefault="00992806" w:rsidP="00F90926">
            <w:pPr>
              <w:jc w:val="right"/>
              <w:rPr>
                <w:sz w:val="20"/>
                <w:szCs w:val="20"/>
              </w:rPr>
            </w:pPr>
            <w:r w:rsidRPr="00C43BE8">
              <w:rPr>
                <w:sz w:val="20"/>
                <w:szCs w:val="20"/>
              </w:rPr>
              <w:t xml:space="preserve">Vidējais veicamo iemaksu objekts ir </w:t>
            </w:r>
            <w:r w:rsidRPr="00C43BE8">
              <w:rPr>
                <w:b/>
                <w:bCs/>
                <w:sz w:val="20"/>
                <w:szCs w:val="20"/>
              </w:rPr>
              <w:t xml:space="preserve">0,01 - 284,58 </w:t>
            </w:r>
            <w:proofErr w:type="spellStart"/>
            <w:r w:rsidRPr="00C43BE8">
              <w:rPr>
                <w:b/>
                <w:bCs/>
                <w:sz w:val="20"/>
                <w:szCs w:val="20"/>
              </w:rPr>
              <w:t>euro</w:t>
            </w:r>
            <w:proofErr w:type="spellEnd"/>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3" w:type="dxa"/>
            <w:shd w:val="clear" w:color="auto" w:fill="auto"/>
            <w:vAlign w:val="center"/>
          </w:tcPr>
          <w:p w:rsidR="00992806" w:rsidRPr="00C43BE8" w:rsidRDefault="00992806" w:rsidP="00F90926">
            <w:pPr>
              <w:jc w:val="right"/>
              <w:rPr>
                <w:sz w:val="20"/>
                <w:szCs w:val="20"/>
              </w:rPr>
            </w:pPr>
            <w:r w:rsidRPr="00C43BE8">
              <w:rPr>
                <w:sz w:val="20"/>
                <w:szCs w:val="20"/>
              </w:rPr>
              <w:t>116 171</w:t>
            </w:r>
          </w:p>
        </w:tc>
        <w:tc>
          <w:tcPr>
            <w:tcW w:w="1129" w:type="dxa"/>
            <w:shd w:val="clear" w:color="auto" w:fill="auto"/>
            <w:vAlign w:val="center"/>
          </w:tcPr>
          <w:p w:rsidR="00992806" w:rsidRPr="00C43BE8" w:rsidRDefault="00992806" w:rsidP="00F90926">
            <w:pPr>
              <w:jc w:val="right"/>
              <w:rPr>
                <w:sz w:val="20"/>
                <w:szCs w:val="20"/>
              </w:rPr>
            </w:pPr>
            <w:r w:rsidRPr="00C43BE8">
              <w:rPr>
                <w:sz w:val="20"/>
                <w:szCs w:val="20"/>
              </w:rPr>
              <w:t>116 519</w:t>
            </w:r>
          </w:p>
        </w:tc>
        <w:tc>
          <w:tcPr>
            <w:tcW w:w="1092" w:type="dxa"/>
            <w:shd w:val="clear" w:color="auto" w:fill="auto"/>
            <w:vAlign w:val="center"/>
          </w:tcPr>
          <w:p w:rsidR="00992806" w:rsidRPr="00C43BE8" w:rsidRDefault="00992806" w:rsidP="00F90926">
            <w:pPr>
              <w:jc w:val="right"/>
              <w:rPr>
                <w:sz w:val="20"/>
                <w:szCs w:val="20"/>
              </w:rPr>
            </w:pPr>
            <w:r w:rsidRPr="00C43BE8">
              <w:rPr>
                <w:sz w:val="20"/>
                <w:szCs w:val="20"/>
              </w:rPr>
              <w:t>232 690</w:t>
            </w:r>
          </w:p>
        </w:tc>
      </w:tr>
      <w:tr w:rsidR="00992806" w:rsidRPr="00C43BE8" w:rsidTr="00F90926">
        <w:tc>
          <w:tcPr>
            <w:tcW w:w="5933" w:type="dxa"/>
            <w:gridSpan w:val="2"/>
            <w:shd w:val="clear" w:color="auto" w:fill="auto"/>
          </w:tcPr>
          <w:p w:rsidR="00992806" w:rsidRPr="00C43BE8" w:rsidRDefault="00992806" w:rsidP="00F90926">
            <w:pPr>
              <w:jc w:val="right"/>
              <w:rPr>
                <w:sz w:val="20"/>
                <w:szCs w:val="20"/>
              </w:rPr>
            </w:pPr>
            <w:r w:rsidRPr="009E66F5">
              <w:rPr>
                <w:b/>
                <w:i/>
                <w:sz w:val="20"/>
                <w:szCs w:val="20"/>
              </w:rPr>
              <w:t>% kopā</w:t>
            </w:r>
          </w:p>
        </w:tc>
        <w:tc>
          <w:tcPr>
            <w:tcW w:w="1133" w:type="dxa"/>
            <w:shd w:val="clear" w:color="auto" w:fill="auto"/>
            <w:vAlign w:val="center"/>
          </w:tcPr>
          <w:p w:rsidR="00992806" w:rsidRPr="006B077B" w:rsidRDefault="006B077B" w:rsidP="00F90926">
            <w:pPr>
              <w:jc w:val="right"/>
              <w:rPr>
                <w:b/>
                <w:i/>
                <w:sz w:val="20"/>
                <w:szCs w:val="20"/>
              </w:rPr>
            </w:pPr>
            <w:r w:rsidRPr="006B077B">
              <w:rPr>
                <w:b/>
                <w:i/>
                <w:sz w:val="20"/>
                <w:szCs w:val="20"/>
              </w:rPr>
              <w:t>102,0</w:t>
            </w:r>
          </w:p>
        </w:tc>
        <w:tc>
          <w:tcPr>
            <w:tcW w:w="1129" w:type="dxa"/>
            <w:shd w:val="clear" w:color="auto" w:fill="auto"/>
            <w:vAlign w:val="center"/>
          </w:tcPr>
          <w:p w:rsidR="00992806" w:rsidRPr="006B077B" w:rsidRDefault="006B077B" w:rsidP="00F90926">
            <w:pPr>
              <w:jc w:val="right"/>
              <w:rPr>
                <w:b/>
                <w:i/>
                <w:sz w:val="20"/>
                <w:szCs w:val="20"/>
              </w:rPr>
            </w:pPr>
            <w:r w:rsidRPr="006B077B">
              <w:rPr>
                <w:b/>
                <w:i/>
                <w:sz w:val="20"/>
                <w:szCs w:val="20"/>
              </w:rPr>
              <w:t>101,7</w:t>
            </w:r>
          </w:p>
        </w:tc>
        <w:tc>
          <w:tcPr>
            <w:tcW w:w="1092" w:type="dxa"/>
            <w:shd w:val="clear" w:color="auto" w:fill="auto"/>
            <w:vAlign w:val="center"/>
          </w:tcPr>
          <w:p w:rsidR="00992806" w:rsidRPr="006B077B" w:rsidRDefault="006B077B" w:rsidP="00F90926">
            <w:pPr>
              <w:jc w:val="right"/>
              <w:rPr>
                <w:b/>
                <w:i/>
                <w:sz w:val="20"/>
                <w:szCs w:val="20"/>
              </w:rPr>
            </w:pPr>
            <w:r w:rsidRPr="006B077B">
              <w:rPr>
                <w:b/>
                <w:i/>
                <w:sz w:val="20"/>
                <w:szCs w:val="20"/>
              </w:rPr>
              <w:t>101,8</w:t>
            </w:r>
          </w:p>
        </w:tc>
      </w:tr>
    </w:tbl>
    <w:p w:rsidR="009E66F5" w:rsidRPr="00992806" w:rsidRDefault="00992806">
      <w:pPr>
        <w:rPr>
          <w:sz w:val="20"/>
          <w:szCs w:val="20"/>
        </w:rPr>
      </w:pPr>
      <w:r w:rsidRPr="00992806">
        <w:rPr>
          <w:sz w:val="20"/>
          <w:szCs w:val="20"/>
        </w:rPr>
        <w:t>Datu avots: Valsts sociālās apdrošināšanas aģentūra</w:t>
      </w:r>
    </w:p>
    <w:p w:rsidR="00F60F8D" w:rsidRPr="00C43BE8" w:rsidRDefault="00F60F8D" w:rsidP="00F60F8D">
      <w:pPr>
        <w:autoSpaceDE w:val="0"/>
        <w:autoSpaceDN w:val="0"/>
        <w:adjustRightInd w:val="0"/>
        <w:jc w:val="both"/>
        <w:rPr>
          <w:sz w:val="28"/>
          <w:szCs w:val="28"/>
        </w:rPr>
      </w:pPr>
      <w:r w:rsidRPr="00C43BE8">
        <w:rPr>
          <w:i/>
          <w:iCs/>
          <w:sz w:val="20"/>
          <w:szCs w:val="20"/>
        </w:rPr>
        <w:t xml:space="preserve">Personas, kurām veicamo iemaksu objektu summa ir 0,00 </w:t>
      </w:r>
      <w:proofErr w:type="spellStart"/>
      <w:r w:rsidRPr="00C43BE8">
        <w:rPr>
          <w:i/>
          <w:iCs/>
          <w:sz w:val="20"/>
          <w:szCs w:val="20"/>
        </w:rPr>
        <w:t>euro</w:t>
      </w:r>
      <w:proofErr w:type="spellEnd"/>
      <w:r w:rsidRPr="00C43BE8">
        <w:rPr>
          <w:i/>
          <w:iCs/>
          <w:sz w:val="20"/>
          <w:szCs w:val="20"/>
        </w:rPr>
        <w:t>, visbiežāk saņem slimības pabalstu, atrodas bezalgas atvaļinājumā, atrodas bērna kopšanas atvaļinājumā utt.</w:t>
      </w:r>
    </w:p>
    <w:p w:rsidR="00F60F8D" w:rsidRPr="00C43BE8" w:rsidRDefault="00F60F8D" w:rsidP="00F60F8D">
      <w:pPr>
        <w:autoSpaceDE w:val="0"/>
        <w:autoSpaceDN w:val="0"/>
        <w:adjustRightInd w:val="0"/>
        <w:jc w:val="both"/>
        <w:rPr>
          <w:sz w:val="28"/>
          <w:szCs w:val="28"/>
        </w:rPr>
      </w:pPr>
    </w:p>
    <w:p w:rsidR="00B92034" w:rsidRPr="00C43BE8" w:rsidRDefault="00534B55" w:rsidP="00534B55">
      <w:pPr>
        <w:ind w:right="-109" w:firstLine="720"/>
        <w:jc w:val="both"/>
        <w:rPr>
          <w:b/>
          <w:bCs/>
          <w:sz w:val="28"/>
          <w:szCs w:val="28"/>
        </w:rPr>
      </w:pPr>
      <w:r w:rsidRPr="00C43BE8">
        <w:rPr>
          <w:b/>
          <w:bCs/>
          <w:sz w:val="28"/>
          <w:szCs w:val="28"/>
        </w:rPr>
        <w:t>2.3. Minimālās mēneša darba algas izmaiņas citās Baltijas valstīs (Igaunijā un Lietuvā)</w:t>
      </w:r>
    </w:p>
    <w:p w:rsidR="0076772A" w:rsidRDefault="0076772A" w:rsidP="0076772A">
      <w:pPr>
        <w:ind w:right="-109" w:firstLine="720"/>
        <w:jc w:val="both"/>
        <w:rPr>
          <w:sz w:val="28"/>
          <w:szCs w:val="28"/>
        </w:rPr>
      </w:pPr>
      <w:r w:rsidRPr="00C43BE8">
        <w:rPr>
          <w:sz w:val="28"/>
          <w:szCs w:val="28"/>
        </w:rPr>
        <w:t>Sākot ar 201</w:t>
      </w:r>
      <w:r>
        <w:rPr>
          <w:sz w:val="28"/>
          <w:szCs w:val="28"/>
        </w:rPr>
        <w:t>5</w:t>
      </w:r>
      <w:r w:rsidRPr="00C43BE8">
        <w:rPr>
          <w:sz w:val="28"/>
          <w:szCs w:val="28"/>
        </w:rPr>
        <w:t xml:space="preserve">.gada 1.janvāri </w:t>
      </w:r>
      <w:r>
        <w:rPr>
          <w:sz w:val="28"/>
          <w:szCs w:val="28"/>
        </w:rPr>
        <w:t>Latvijā</w:t>
      </w:r>
      <w:r w:rsidRPr="00C43BE8">
        <w:rPr>
          <w:sz w:val="28"/>
          <w:szCs w:val="28"/>
        </w:rPr>
        <w:t xml:space="preserve"> minimālā mēneša darba alga tika paaugstināta no </w:t>
      </w:r>
      <w:r>
        <w:rPr>
          <w:sz w:val="28"/>
          <w:szCs w:val="28"/>
        </w:rPr>
        <w:t xml:space="preserve">320 </w:t>
      </w:r>
      <w:proofErr w:type="spellStart"/>
      <w:r w:rsidRPr="00625CC0">
        <w:rPr>
          <w:i/>
          <w:sz w:val="28"/>
          <w:szCs w:val="28"/>
        </w:rPr>
        <w:t>euro</w:t>
      </w:r>
      <w:proofErr w:type="spellEnd"/>
      <w:r w:rsidRPr="00C43BE8">
        <w:rPr>
          <w:sz w:val="28"/>
          <w:szCs w:val="28"/>
        </w:rPr>
        <w:t xml:space="preserve"> līdz </w:t>
      </w:r>
      <w:r>
        <w:rPr>
          <w:sz w:val="28"/>
          <w:szCs w:val="28"/>
        </w:rPr>
        <w:t>360</w:t>
      </w:r>
      <w:r w:rsidRPr="00C43BE8">
        <w:rPr>
          <w:sz w:val="28"/>
          <w:szCs w:val="28"/>
        </w:rPr>
        <w:t xml:space="preserve"> </w:t>
      </w:r>
      <w:proofErr w:type="spellStart"/>
      <w:r w:rsidRPr="00C43BE8">
        <w:rPr>
          <w:i/>
          <w:sz w:val="28"/>
          <w:szCs w:val="28"/>
        </w:rPr>
        <w:t>euro</w:t>
      </w:r>
      <w:proofErr w:type="spellEnd"/>
      <w:r w:rsidRPr="00C43BE8">
        <w:rPr>
          <w:sz w:val="28"/>
          <w:szCs w:val="28"/>
        </w:rPr>
        <w:t>. Salīdzinājumā ar pārējām Baltijas valstīm, Igaunija sākot ar 201</w:t>
      </w:r>
      <w:r>
        <w:rPr>
          <w:sz w:val="28"/>
          <w:szCs w:val="28"/>
        </w:rPr>
        <w:t>5</w:t>
      </w:r>
      <w:r w:rsidRPr="00C43BE8">
        <w:rPr>
          <w:sz w:val="28"/>
          <w:szCs w:val="28"/>
        </w:rPr>
        <w:t>.gada 1.janvāri paaugstināja minimālo mēneša darba algu no 3</w:t>
      </w:r>
      <w:r>
        <w:rPr>
          <w:sz w:val="28"/>
          <w:szCs w:val="28"/>
        </w:rPr>
        <w:t>55</w:t>
      </w:r>
      <w:r w:rsidRPr="00C43BE8">
        <w:rPr>
          <w:sz w:val="28"/>
          <w:szCs w:val="28"/>
        </w:rPr>
        <w:t xml:space="preserve"> </w:t>
      </w:r>
      <w:proofErr w:type="spellStart"/>
      <w:r w:rsidRPr="00C43BE8">
        <w:rPr>
          <w:i/>
          <w:sz w:val="28"/>
          <w:szCs w:val="28"/>
        </w:rPr>
        <w:t>euro</w:t>
      </w:r>
      <w:proofErr w:type="spellEnd"/>
      <w:r w:rsidRPr="00C43BE8">
        <w:rPr>
          <w:sz w:val="28"/>
          <w:szCs w:val="28"/>
        </w:rPr>
        <w:t xml:space="preserve"> līdz 3</w:t>
      </w:r>
      <w:r>
        <w:rPr>
          <w:sz w:val="28"/>
          <w:szCs w:val="28"/>
        </w:rPr>
        <w:t>90</w:t>
      </w:r>
      <w:r w:rsidRPr="00C43BE8">
        <w:rPr>
          <w:sz w:val="28"/>
          <w:szCs w:val="28"/>
        </w:rPr>
        <w:t xml:space="preserve"> </w:t>
      </w:r>
      <w:proofErr w:type="spellStart"/>
      <w:r w:rsidRPr="00C43BE8">
        <w:rPr>
          <w:i/>
          <w:sz w:val="28"/>
          <w:szCs w:val="28"/>
        </w:rPr>
        <w:t>euro</w:t>
      </w:r>
      <w:proofErr w:type="spellEnd"/>
      <w:r w:rsidRPr="00C43BE8">
        <w:rPr>
          <w:sz w:val="28"/>
          <w:szCs w:val="28"/>
        </w:rPr>
        <w:t>, bet Lietuva paaugstināja minimālo mēneša darba algu</w:t>
      </w:r>
      <w:r>
        <w:rPr>
          <w:sz w:val="28"/>
          <w:szCs w:val="28"/>
        </w:rPr>
        <w:t xml:space="preserve"> no </w:t>
      </w:r>
      <w:r w:rsidRPr="00C43BE8">
        <w:rPr>
          <w:sz w:val="28"/>
          <w:szCs w:val="28"/>
        </w:rPr>
        <w:t xml:space="preserve">290 </w:t>
      </w:r>
      <w:proofErr w:type="spellStart"/>
      <w:r w:rsidRPr="00C43BE8">
        <w:rPr>
          <w:i/>
          <w:sz w:val="28"/>
          <w:szCs w:val="28"/>
        </w:rPr>
        <w:t>euro</w:t>
      </w:r>
      <w:proofErr w:type="spellEnd"/>
      <w:r>
        <w:rPr>
          <w:sz w:val="28"/>
          <w:szCs w:val="28"/>
        </w:rPr>
        <w:t xml:space="preserve"> līdz 300 </w:t>
      </w:r>
      <w:proofErr w:type="spellStart"/>
      <w:r w:rsidRPr="00625CC0">
        <w:rPr>
          <w:i/>
          <w:sz w:val="28"/>
          <w:szCs w:val="28"/>
        </w:rPr>
        <w:t>euro</w:t>
      </w:r>
      <w:proofErr w:type="spellEnd"/>
      <w:r w:rsidRPr="00C43BE8">
        <w:rPr>
          <w:sz w:val="28"/>
          <w:szCs w:val="28"/>
        </w:rPr>
        <w:t>. (skat. 5.tabulu).</w:t>
      </w:r>
    </w:p>
    <w:p w:rsidR="0076772A" w:rsidRPr="00C43BE8" w:rsidRDefault="0076772A" w:rsidP="0076772A">
      <w:pPr>
        <w:ind w:right="-109"/>
        <w:jc w:val="both"/>
        <w:rPr>
          <w:sz w:val="28"/>
          <w:szCs w:val="28"/>
        </w:rPr>
      </w:pPr>
    </w:p>
    <w:p w:rsidR="00255295" w:rsidRPr="00C43BE8" w:rsidRDefault="0078560B" w:rsidP="00255295">
      <w:pPr>
        <w:ind w:right="-109"/>
        <w:jc w:val="right"/>
        <w:rPr>
          <w:sz w:val="28"/>
          <w:szCs w:val="28"/>
        </w:rPr>
      </w:pPr>
      <w:r w:rsidRPr="00C43BE8">
        <w:rPr>
          <w:sz w:val="28"/>
          <w:szCs w:val="28"/>
        </w:rPr>
        <w:t>5</w:t>
      </w:r>
      <w:r w:rsidR="00FC3CE3" w:rsidRPr="00C43BE8">
        <w:rPr>
          <w:sz w:val="28"/>
          <w:szCs w:val="28"/>
        </w:rPr>
        <w:t>.tabula</w:t>
      </w:r>
    </w:p>
    <w:p w:rsidR="00F40A42" w:rsidRPr="00710541" w:rsidRDefault="00F40A42" w:rsidP="0043231A">
      <w:pPr>
        <w:ind w:right="-109"/>
        <w:rPr>
          <w:sz w:val="28"/>
          <w:szCs w:val="28"/>
        </w:rPr>
      </w:pPr>
    </w:p>
    <w:p w:rsidR="00FC3CE3" w:rsidRPr="00C43BE8" w:rsidRDefault="00FC3CE3" w:rsidP="00FC3CE3">
      <w:pPr>
        <w:jc w:val="center"/>
        <w:rPr>
          <w:b/>
        </w:rPr>
      </w:pPr>
      <w:r w:rsidRPr="00C43BE8">
        <w:rPr>
          <w:b/>
        </w:rPr>
        <w:t>Minimālā mēneša darba alga Baltijas valstīs</w:t>
      </w:r>
    </w:p>
    <w:p w:rsidR="00FC3CE3" w:rsidRPr="00C43BE8" w:rsidRDefault="00FC3CE3" w:rsidP="00FC3CE3">
      <w:pPr>
        <w:jc w:val="center"/>
        <w:rPr>
          <w:b/>
        </w:rPr>
      </w:pPr>
      <w:r w:rsidRPr="00C43BE8">
        <w:rPr>
          <w:b/>
        </w:rPr>
        <w:t>201</w:t>
      </w:r>
      <w:r w:rsidR="00B92005">
        <w:rPr>
          <w:b/>
        </w:rPr>
        <w:t>3</w:t>
      </w:r>
      <w:r w:rsidRPr="00C43BE8">
        <w:rPr>
          <w:b/>
        </w:rPr>
        <w:t>., 201</w:t>
      </w:r>
      <w:r w:rsidR="00B92005">
        <w:rPr>
          <w:b/>
        </w:rPr>
        <w:t>4</w:t>
      </w:r>
      <w:r w:rsidRPr="00C43BE8">
        <w:rPr>
          <w:b/>
        </w:rPr>
        <w:t>. un 201</w:t>
      </w:r>
      <w:r w:rsidR="00B92005">
        <w:rPr>
          <w:b/>
        </w:rPr>
        <w:t>5</w:t>
      </w:r>
      <w:r w:rsidRPr="00C43BE8">
        <w:rPr>
          <w:b/>
        </w:rPr>
        <w:t>.gada janvārī</w:t>
      </w:r>
      <w:r w:rsidR="00355197">
        <w:rPr>
          <w:b/>
        </w:rPr>
        <w:t xml:space="preserve">, </w:t>
      </w:r>
      <w:proofErr w:type="spellStart"/>
      <w:r w:rsidR="00355197">
        <w:rPr>
          <w:b/>
        </w:rPr>
        <w:t>euro</w:t>
      </w:r>
      <w:proofErr w:type="spellEnd"/>
    </w:p>
    <w:tbl>
      <w:tblPr>
        <w:tblStyle w:val="TableGrid"/>
        <w:tblW w:w="0" w:type="auto"/>
        <w:tblLook w:val="04A0" w:firstRow="1" w:lastRow="0" w:firstColumn="1" w:lastColumn="0" w:noHBand="0" w:noVBand="1"/>
      </w:tblPr>
      <w:tblGrid>
        <w:gridCol w:w="2321"/>
        <w:gridCol w:w="2322"/>
        <w:gridCol w:w="2322"/>
        <w:gridCol w:w="2322"/>
      </w:tblGrid>
      <w:tr w:rsidR="00355197" w:rsidTr="00355197">
        <w:tc>
          <w:tcPr>
            <w:tcW w:w="2321" w:type="dxa"/>
          </w:tcPr>
          <w:p w:rsidR="00355197" w:rsidRDefault="00355197" w:rsidP="00355197"/>
        </w:tc>
        <w:tc>
          <w:tcPr>
            <w:tcW w:w="2322" w:type="dxa"/>
          </w:tcPr>
          <w:p w:rsidR="00355197" w:rsidRPr="00355197" w:rsidRDefault="00355197" w:rsidP="00355197">
            <w:pPr>
              <w:jc w:val="center"/>
              <w:rPr>
                <w:b/>
              </w:rPr>
            </w:pPr>
            <w:r w:rsidRPr="00355197">
              <w:rPr>
                <w:b/>
              </w:rPr>
              <w:t>2013.gada 1.janvāris</w:t>
            </w:r>
          </w:p>
        </w:tc>
        <w:tc>
          <w:tcPr>
            <w:tcW w:w="2322" w:type="dxa"/>
          </w:tcPr>
          <w:p w:rsidR="00355197" w:rsidRPr="00355197" w:rsidRDefault="00355197" w:rsidP="00355197">
            <w:pPr>
              <w:jc w:val="center"/>
              <w:rPr>
                <w:b/>
              </w:rPr>
            </w:pPr>
            <w:r w:rsidRPr="00355197">
              <w:rPr>
                <w:b/>
              </w:rPr>
              <w:t>201</w:t>
            </w:r>
            <w:r>
              <w:rPr>
                <w:b/>
              </w:rPr>
              <w:t>4</w:t>
            </w:r>
            <w:r w:rsidRPr="00355197">
              <w:rPr>
                <w:b/>
              </w:rPr>
              <w:t>.gada 1.janvāris</w:t>
            </w:r>
          </w:p>
        </w:tc>
        <w:tc>
          <w:tcPr>
            <w:tcW w:w="2322" w:type="dxa"/>
          </w:tcPr>
          <w:p w:rsidR="00355197" w:rsidRPr="00355197" w:rsidRDefault="00355197" w:rsidP="00355197">
            <w:pPr>
              <w:jc w:val="center"/>
              <w:rPr>
                <w:b/>
              </w:rPr>
            </w:pPr>
            <w:r w:rsidRPr="00355197">
              <w:rPr>
                <w:b/>
              </w:rPr>
              <w:t>201</w:t>
            </w:r>
            <w:r>
              <w:rPr>
                <w:b/>
              </w:rPr>
              <w:t>5</w:t>
            </w:r>
            <w:r w:rsidRPr="00355197">
              <w:rPr>
                <w:b/>
              </w:rPr>
              <w:t>.gada 1.janvāris</w:t>
            </w:r>
          </w:p>
        </w:tc>
      </w:tr>
      <w:tr w:rsidR="00355197" w:rsidTr="00355197">
        <w:tc>
          <w:tcPr>
            <w:tcW w:w="2321" w:type="dxa"/>
          </w:tcPr>
          <w:p w:rsidR="00355197" w:rsidRPr="00C43BE8" w:rsidRDefault="00355197" w:rsidP="00E04D25">
            <w:pPr>
              <w:rPr>
                <w:b/>
              </w:rPr>
            </w:pPr>
            <w:r w:rsidRPr="00C43BE8">
              <w:rPr>
                <w:b/>
              </w:rPr>
              <w:t>Latvija</w:t>
            </w:r>
          </w:p>
        </w:tc>
        <w:tc>
          <w:tcPr>
            <w:tcW w:w="2322" w:type="dxa"/>
          </w:tcPr>
          <w:p w:rsidR="00355197" w:rsidRDefault="00355197" w:rsidP="00355197">
            <w:pPr>
              <w:jc w:val="center"/>
            </w:pPr>
            <w:r>
              <w:t>285</w:t>
            </w:r>
          </w:p>
        </w:tc>
        <w:tc>
          <w:tcPr>
            <w:tcW w:w="2322" w:type="dxa"/>
          </w:tcPr>
          <w:p w:rsidR="00355197" w:rsidRDefault="00355197" w:rsidP="00355197">
            <w:pPr>
              <w:jc w:val="center"/>
            </w:pPr>
            <w:r>
              <w:t>320</w:t>
            </w:r>
          </w:p>
        </w:tc>
        <w:tc>
          <w:tcPr>
            <w:tcW w:w="2322" w:type="dxa"/>
          </w:tcPr>
          <w:p w:rsidR="00355197" w:rsidRDefault="00355197" w:rsidP="00355197">
            <w:pPr>
              <w:jc w:val="center"/>
            </w:pPr>
            <w:r>
              <w:t>360</w:t>
            </w:r>
          </w:p>
        </w:tc>
      </w:tr>
      <w:tr w:rsidR="00355197" w:rsidTr="00355197">
        <w:tc>
          <w:tcPr>
            <w:tcW w:w="2321" w:type="dxa"/>
          </w:tcPr>
          <w:p w:rsidR="00355197" w:rsidRPr="00C43BE8" w:rsidRDefault="00355197" w:rsidP="00E04D25">
            <w:pPr>
              <w:rPr>
                <w:b/>
              </w:rPr>
            </w:pPr>
            <w:r w:rsidRPr="00C43BE8">
              <w:rPr>
                <w:b/>
              </w:rPr>
              <w:t>Igaunija</w:t>
            </w:r>
          </w:p>
        </w:tc>
        <w:tc>
          <w:tcPr>
            <w:tcW w:w="2322" w:type="dxa"/>
          </w:tcPr>
          <w:p w:rsidR="00355197" w:rsidRDefault="00355197" w:rsidP="00355197">
            <w:pPr>
              <w:jc w:val="center"/>
            </w:pPr>
            <w:r>
              <w:t>320</w:t>
            </w:r>
          </w:p>
        </w:tc>
        <w:tc>
          <w:tcPr>
            <w:tcW w:w="2322" w:type="dxa"/>
          </w:tcPr>
          <w:p w:rsidR="00355197" w:rsidRDefault="00355197" w:rsidP="00355197">
            <w:pPr>
              <w:jc w:val="center"/>
            </w:pPr>
            <w:r>
              <w:t>355</w:t>
            </w:r>
          </w:p>
        </w:tc>
        <w:tc>
          <w:tcPr>
            <w:tcW w:w="2322" w:type="dxa"/>
          </w:tcPr>
          <w:p w:rsidR="00355197" w:rsidRDefault="00355197" w:rsidP="00355197">
            <w:pPr>
              <w:jc w:val="center"/>
            </w:pPr>
            <w:r>
              <w:t>390</w:t>
            </w:r>
          </w:p>
        </w:tc>
      </w:tr>
      <w:tr w:rsidR="00355197" w:rsidTr="00355197">
        <w:tc>
          <w:tcPr>
            <w:tcW w:w="2321" w:type="dxa"/>
          </w:tcPr>
          <w:p w:rsidR="00355197" w:rsidRPr="00C43BE8" w:rsidRDefault="00355197" w:rsidP="00E04D25">
            <w:pPr>
              <w:rPr>
                <w:b/>
              </w:rPr>
            </w:pPr>
            <w:r w:rsidRPr="00C43BE8">
              <w:rPr>
                <w:b/>
              </w:rPr>
              <w:t>Lietuva</w:t>
            </w:r>
          </w:p>
        </w:tc>
        <w:tc>
          <w:tcPr>
            <w:tcW w:w="2322" w:type="dxa"/>
          </w:tcPr>
          <w:p w:rsidR="00355197" w:rsidRDefault="00355197" w:rsidP="00355197">
            <w:pPr>
              <w:jc w:val="center"/>
            </w:pPr>
            <w:r>
              <w:t>289</w:t>
            </w:r>
          </w:p>
        </w:tc>
        <w:tc>
          <w:tcPr>
            <w:tcW w:w="2322" w:type="dxa"/>
          </w:tcPr>
          <w:p w:rsidR="00355197" w:rsidRDefault="00355197" w:rsidP="00355197">
            <w:pPr>
              <w:jc w:val="center"/>
            </w:pPr>
            <w:r>
              <w:t>290</w:t>
            </w:r>
          </w:p>
        </w:tc>
        <w:tc>
          <w:tcPr>
            <w:tcW w:w="2322" w:type="dxa"/>
          </w:tcPr>
          <w:p w:rsidR="00355197" w:rsidRDefault="00355197" w:rsidP="00355197">
            <w:pPr>
              <w:jc w:val="center"/>
            </w:pPr>
            <w:r>
              <w:t>300</w:t>
            </w:r>
          </w:p>
        </w:tc>
      </w:tr>
    </w:tbl>
    <w:p w:rsidR="00FC3CE3" w:rsidRPr="00C43BE8" w:rsidRDefault="00FC3CE3" w:rsidP="00FC3CE3">
      <w:pPr>
        <w:rPr>
          <w:sz w:val="18"/>
          <w:szCs w:val="18"/>
        </w:rPr>
      </w:pPr>
      <w:r w:rsidRPr="00C43BE8">
        <w:rPr>
          <w:sz w:val="18"/>
          <w:szCs w:val="18"/>
        </w:rPr>
        <w:t>Datu avots: Eurostat dati, 201</w:t>
      </w:r>
      <w:r w:rsidR="00355197">
        <w:rPr>
          <w:sz w:val="18"/>
          <w:szCs w:val="18"/>
        </w:rPr>
        <w:t>4</w:t>
      </w:r>
    </w:p>
    <w:p w:rsidR="00FC3CE3" w:rsidRPr="00C43BE8" w:rsidRDefault="00FC3CE3" w:rsidP="00FC3CE3">
      <w:pPr>
        <w:rPr>
          <w:sz w:val="28"/>
          <w:szCs w:val="28"/>
        </w:rPr>
      </w:pPr>
    </w:p>
    <w:p w:rsidR="002B2871" w:rsidRPr="00C43BE8" w:rsidRDefault="00B72667" w:rsidP="00B72667">
      <w:pPr>
        <w:ind w:right="-109" w:firstLine="720"/>
        <w:jc w:val="both"/>
        <w:rPr>
          <w:sz w:val="28"/>
          <w:szCs w:val="28"/>
        </w:rPr>
      </w:pPr>
      <w:r w:rsidRPr="00C43BE8">
        <w:rPr>
          <w:sz w:val="28"/>
          <w:szCs w:val="28"/>
        </w:rPr>
        <w:t>M</w:t>
      </w:r>
      <w:r w:rsidR="00255295" w:rsidRPr="00C43BE8">
        <w:rPr>
          <w:sz w:val="28"/>
          <w:szCs w:val="28"/>
        </w:rPr>
        <w:t xml:space="preserve">inimālās mēneša darba algas apmērs Latvijā </w:t>
      </w:r>
      <w:r w:rsidRPr="00C43BE8">
        <w:rPr>
          <w:sz w:val="28"/>
          <w:szCs w:val="28"/>
        </w:rPr>
        <w:t xml:space="preserve">ir par </w:t>
      </w:r>
      <w:r w:rsidR="00355197">
        <w:rPr>
          <w:sz w:val="28"/>
          <w:szCs w:val="28"/>
        </w:rPr>
        <w:t>30</w:t>
      </w:r>
      <w:r w:rsidR="00204FA4" w:rsidRPr="00C43BE8">
        <w:rPr>
          <w:sz w:val="28"/>
          <w:szCs w:val="28"/>
        </w:rPr>
        <w:t xml:space="preserve"> </w:t>
      </w:r>
      <w:proofErr w:type="spellStart"/>
      <w:r w:rsidR="00204FA4" w:rsidRPr="00C43BE8">
        <w:rPr>
          <w:i/>
          <w:sz w:val="28"/>
          <w:szCs w:val="28"/>
        </w:rPr>
        <w:t>euro</w:t>
      </w:r>
      <w:proofErr w:type="spellEnd"/>
      <w:r w:rsidRPr="00C43BE8">
        <w:rPr>
          <w:sz w:val="28"/>
          <w:szCs w:val="28"/>
        </w:rPr>
        <w:t xml:space="preserve"> </w:t>
      </w:r>
      <w:r w:rsidR="004C4409" w:rsidRPr="00C43BE8">
        <w:rPr>
          <w:sz w:val="28"/>
          <w:szCs w:val="28"/>
        </w:rPr>
        <w:t>mazāks</w:t>
      </w:r>
      <w:r w:rsidRPr="00C43BE8">
        <w:rPr>
          <w:sz w:val="28"/>
          <w:szCs w:val="28"/>
        </w:rPr>
        <w:t xml:space="preserve"> nekā</w:t>
      </w:r>
      <w:r w:rsidR="00255295" w:rsidRPr="00C43BE8">
        <w:rPr>
          <w:sz w:val="28"/>
          <w:szCs w:val="28"/>
        </w:rPr>
        <w:t xml:space="preserve"> </w:t>
      </w:r>
      <w:r w:rsidR="00204FA4" w:rsidRPr="00C43BE8">
        <w:rPr>
          <w:sz w:val="28"/>
          <w:szCs w:val="28"/>
        </w:rPr>
        <w:t>Igaunijā</w:t>
      </w:r>
      <w:r w:rsidR="00255295" w:rsidRPr="00C43BE8">
        <w:rPr>
          <w:sz w:val="28"/>
          <w:szCs w:val="28"/>
        </w:rPr>
        <w:t xml:space="preserve"> </w:t>
      </w:r>
      <w:r w:rsidRPr="00C43BE8">
        <w:rPr>
          <w:sz w:val="28"/>
          <w:szCs w:val="28"/>
        </w:rPr>
        <w:t xml:space="preserve">un par </w:t>
      </w:r>
      <w:r w:rsidR="00355197">
        <w:rPr>
          <w:sz w:val="28"/>
          <w:szCs w:val="28"/>
        </w:rPr>
        <w:t>60</w:t>
      </w:r>
      <w:r w:rsidR="00204FA4" w:rsidRPr="00C43BE8">
        <w:rPr>
          <w:sz w:val="28"/>
          <w:szCs w:val="28"/>
        </w:rPr>
        <w:t xml:space="preserve"> </w:t>
      </w:r>
      <w:proofErr w:type="spellStart"/>
      <w:r w:rsidR="00204FA4" w:rsidRPr="00C43BE8">
        <w:rPr>
          <w:i/>
          <w:sz w:val="28"/>
          <w:szCs w:val="28"/>
        </w:rPr>
        <w:t>euro</w:t>
      </w:r>
      <w:proofErr w:type="spellEnd"/>
      <w:r w:rsidRPr="00C43BE8">
        <w:rPr>
          <w:sz w:val="28"/>
          <w:szCs w:val="28"/>
        </w:rPr>
        <w:t xml:space="preserve"> </w:t>
      </w:r>
      <w:r w:rsidR="00204FA4" w:rsidRPr="00C43BE8">
        <w:rPr>
          <w:sz w:val="28"/>
          <w:szCs w:val="28"/>
        </w:rPr>
        <w:t>lielāks</w:t>
      </w:r>
      <w:r w:rsidRPr="00C43BE8">
        <w:rPr>
          <w:sz w:val="28"/>
          <w:szCs w:val="28"/>
        </w:rPr>
        <w:t xml:space="preserve"> nekā </w:t>
      </w:r>
      <w:r w:rsidR="00204FA4" w:rsidRPr="00C43BE8">
        <w:rPr>
          <w:sz w:val="28"/>
          <w:szCs w:val="28"/>
        </w:rPr>
        <w:t>Lietuvā</w:t>
      </w:r>
      <w:r w:rsidR="002B2871" w:rsidRPr="00C43BE8">
        <w:rPr>
          <w:sz w:val="28"/>
          <w:szCs w:val="28"/>
        </w:rPr>
        <w:t>.</w:t>
      </w:r>
      <w:r w:rsidR="000112C9">
        <w:rPr>
          <w:sz w:val="28"/>
          <w:szCs w:val="28"/>
        </w:rPr>
        <w:t xml:space="preserve"> Tomēr Lietuvā Trīspusējā padomē, kas apvieno valdības, darba devēju un arodbiedrību pārstāvjus, tika nolemts, ka Lietuvā minimālā mēneša darba alga tiks paaugstināta no 300 </w:t>
      </w:r>
      <w:proofErr w:type="spellStart"/>
      <w:r w:rsidR="000112C9" w:rsidRPr="000112C9">
        <w:rPr>
          <w:i/>
          <w:sz w:val="28"/>
          <w:szCs w:val="28"/>
        </w:rPr>
        <w:t>euro</w:t>
      </w:r>
      <w:proofErr w:type="spellEnd"/>
      <w:r w:rsidR="000112C9">
        <w:rPr>
          <w:sz w:val="28"/>
          <w:szCs w:val="28"/>
        </w:rPr>
        <w:t xml:space="preserve"> līdz 325 </w:t>
      </w:r>
      <w:proofErr w:type="spellStart"/>
      <w:r w:rsidR="000112C9" w:rsidRPr="000112C9">
        <w:rPr>
          <w:i/>
          <w:sz w:val="28"/>
          <w:szCs w:val="28"/>
        </w:rPr>
        <w:t>euro</w:t>
      </w:r>
      <w:proofErr w:type="spellEnd"/>
      <w:r w:rsidR="000112C9">
        <w:rPr>
          <w:sz w:val="28"/>
          <w:szCs w:val="28"/>
        </w:rPr>
        <w:t xml:space="preserve"> sākot ar 2015.gada 1.jūliju un Lietuvas valdība plāno, ka minimālā mēneša darba alga varētu arī pieaugt līdz 350 </w:t>
      </w:r>
      <w:proofErr w:type="spellStart"/>
      <w:r w:rsidR="000112C9" w:rsidRPr="000112C9">
        <w:rPr>
          <w:i/>
          <w:sz w:val="28"/>
          <w:szCs w:val="28"/>
        </w:rPr>
        <w:t>euro</w:t>
      </w:r>
      <w:proofErr w:type="spellEnd"/>
      <w:r w:rsidR="000112C9">
        <w:rPr>
          <w:sz w:val="28"/>
          <w:szCs w:val="28"/>
        </w:rPr>
        <w:t xml:space="preserve"> sākot ar 2016.gada 1.janvāri.</w:t>
      </w:r>
      <w:r w:rsidR="00E04D25">
        <w:rPr>
          <w:sz w:val="28"/>
          <w:szCs w:val="28"/>
        </w:rPr>
        <w:t xml:space="preserve"> Igaunijas jaunā valdība </w:t>
      </w:r>
      <w:r w:rsidR="007D2474">
        <w:rPr>
          <w:sz w:val="28"/>
          <w:szCs w:val="28"/>
        </w:rPr>
        <w:t>izvirzīja mērķi</w:t>
      </w:r>
      <w:r w:rsidR="00E04D25">
        <w:rPr>
          <w:sz w:val="28"/>
          <w:szCs w:val="28"/>
        </w:rPr>
        <w:t xml:space="preserve"> paaugstināt minimālo mēneša darba algu </w:t>
      </w:r>
      <w:r w:rsidR="007D2474">
        <w:rPr>
          <w:sz w:val="28"/>
          <w:szCs w:val="28"/>
        </w:rPr>
        <w:t xml:space="preserve">līdz vismaz 45% apmērā no vidējās darba samaksas </w:t>
      </w:r>
      <w:r w:rsidR="00E04D25">
        <w:rPr>
          <w:sz w:val="28"/>
          <w:szCs w:val="28"/>
        </w:rPr>
        <w:t>četru gadu periodā</w:t>
      </w:r>
      <w:r w:rsidR="007D2474">
        <w:rPr>
          <w:sz w:val="28"/>
          <w:szCs w:val="28"/>
        </w:rPr>
        <w:t xml:space="preserve"> un paaugstināt ar iedzīvotāju ienākuma nodokļa neapliekamo minimumu</w:t>
      </w:r>
      <w:r w:rsidR="00E04D25">
        <w:rPr>
          <w:sz w:val="28"/>
          <w:szCs w:val="28"/>
        </w:rPr>
        <w:t>.</w:t>
      </w:r>
      <w:r w:rsidR="004824B8">
        <w:rPr>
          <w:sz w:val="28"/>
          <w:szCs w:val="28"/>
        </w:rPr>
        <w:t xml:space="preserve"> </w:t>
      </w:r>
      <w:r w:rsidR="005075E7">
        <w:rPr>
          <w:sz w:val="28"/>
          <w:szCs w:val="28"/>
        </w:rPr>
        <w:t>Uz 20</w:t>
      </w:r>
      <w:r w:rsidR="004A32F1">
        <w:rPr>
          <w:sz w:val="28"/>
          <w:szCs w:val="28"/>
        </w:rPr>
        <w:t>14</w:t>
      </w:r>
      <w:r w:rsidR="005075E7">
        <w:rPr>
          <w:sz w:val="28"/>
          <w:szCs w:val="28"/>
        </w:rPr>
        <w:t xml:space="preserve">.gada </w:t>
      </w:r>
      <w:r w:rsidR="004A32F1">
        <w:rPr>
          <w:sz w:val="28"/>
          <w:szCs w:val="28"/>
        </w:rPr>
        <w:t>31</w:t>
      </w:r>
      <w:r w:rsidR="005075E7">
        <w:rPr>
          <w:sz w:val="28"/>
          <w:szCs w:val="28"/>
        </w:rPr>
        <w:t>.</w:t>
      </w:r>
      <w:r w:rsidR="004A32F1">
        <w:rPr>
          <w:sz w:val="28"/>
          <w:szCs w:val="28"/>
        </w:rPr>
        <w:t>decembri</w:t>
      </w:r>
      <w:r w:rsidR="005075E7">
        <w:rPr>
          <w:sz w:val="28"/>
          <w:szCs w:val="28"/>
        </w:rPr>
        <w:t xml:space="preserve"> Igaunijā minimālā mēneša darba alga </w:t>
      </w:r>
      <w:r w:rsidR="004A32F1">
        <w:rPr>
          <w:sz w:val="28"/>
          <w:szCs w:val="28"/>
        </w:rPr>
        <w:t>bija</w:t>
      </w:r>
      <w:r w:rsidR="005075E7">
        <w:rPr>
          <w:sz w:val="28"/>
          <w:szCs w:val="28"/>
        </w:rPr>
        <w:t xml:space="preserve"> 3</w:t>
      </w:r>
      <w:r w:rsidR="004A32F1">
        <w:rPr>
          <w:sz w:val="28"/>
          <w:szCs w:val="28"/>
        </w:rPr>
        <w:t>4</w:t>
      </w:r>
      <w:r w:rsidR="005075E7">
        <w:rPr>
          <w:sz w:val="28"/>
          <w:szCs w:val="28"/>
        </w:rPr>
        <w:t>,</w:t>
      </w:r>
      <w:r w:rsidR="004A32F1">
        <w:rPr>
          <w:sz w:val="28"/>
          <w:szCs w:val="28"/>
        </w:rPr>
        <w:t>2</w:t>
      </w:r>
      <w:r w:rsidR="005075E7">
        <w:rPr>
          <w:sz w:val="28"/>
          <w:szCs w:val="28"/>
        </w:rPr>
        <w:t>% apmērā no vidēj</w:t>
      </w:r>
      <w:r w:rsidR="00F753BB">
        <w:rPr>
          <w:sz w:val="28"/>
          <w:szCs w:val="28"/>
        </w:rPr>
        <w:t>ās darba sama</w:t>
      </w:r>
      <w:r w:rsidR="005075E7">
        <w:rPr>
          <w:sz w:val="28"/>
          <w:szCs w:val="28"/>
        </w:rPr>
        <w:t>k</w:t>
      </w:r>
      <w:r w:rsidR="00F753BB">
        <w:rPr>
          <w:sz w:val="28"/>
          <w:szCs w:val="28"/>
        </w:rPr>
        <w:t>s</w:t>
      </w:r>
      <w:r w:rsidR="005075E7">
        <w:rPr>
          <w:sz w:val="28"/>
          <w:szCs w:val="28"/>
        </w:rPr>
        <w:t>as (2014.gada 4.</w:t>
      </w:r>
      <w:r w:rsidR="00F753BB">
        <w:rPr>
          <w:sz w:val="28"/>
          <w:szCs w:val="28"/>
        </w:rPr>
        <w:t xml:space="preserve">ceturksnī – 1039 </w:t>
      </w:r>
      <w:proofErr w:type="spellStart"/>
      <w:r w:rsidR="00F753BB" w:rsidRPr="00F753BB">
        <w:rPr>
          <w:i/>
          <w:sz w:val="28"/>
          <w:szCs w:val="28"/>
        </w:rPr>
        <w:t>euro</w:t>
      </w:r>
      <w:proofErr w:type="spellEnd"/>
      <w:r w:rsidR="005075E7">
        <w:rPr>
          <w:sz w:val="28"/>
          <w:szCs w:val="28"/>
        </w:rPr>
        <w:t xml:space="preserve">), bet </w:t>
      </w:r>
      <w:r w:rsidR="004824B8">
        <w:rPr>
          <w:sz w:val="28"/>
          <w:szCs w:val="28"/>
        </w:rPr>
        <w:t xml:space="preserve">Latvijā minimālā mēneša darba alga </w:t>
      </w:r>
      <w:r w:rsidR="00631529">
        <w:rPr>
          <w:sz w:val="28"/>
          <w:szCs w:val="28"/>
        </w:rPr>
        <w:t>bija</w:t>
      </w:r>
      <w:r w:rsidR="004824B8">
        <w:rPr>
          <w:sz w:val="28"/>
          <w:szCs w:val="28"/>
        </w:rPr>
        <w:t xml:space="preserve"> 4</w:t>
      </w:r>
      <w:r w:rsidR="004A32F1">
        <w:rPr>
          <w:sz w:val="28"/>
          <w:szCs w:val="28"/>
        </w:rPr>
        <w:t>0</w:t>
      </w:r>
      <w:r w:rsidR="005075E7">
        <w:rPr>
          <w:sz w:val="28"/>
          <w:szCs w:val="28"/>
        </w:rPr>
        <w:t>,</w:t>
      </w:r>
      <w:r w:rsidR="004A32F1">
        <w:rPr>
          <w:sz w:val="28"/>
          <w:szCs w:val="28"/>
        </w:rPr>
        <w:t>7</w:t>
      </w:r>
      <w:r w:rsidR="004824B8">
        <w:rPr>
          <w:sz w:val="28"/>
          <w:szCs w:val="28"/>
        </w:rPr>
        <w:t>%</w:t>
      </w:r>
      <w:r w:rsidR="005075E7">
        <w:rPr>
          <w:sz w:val="28"/>
          <w:szCs w:val="28"/>
        </w:rPr>
        <w:t xml:space="preserve"> apmērā </w:t>
      </w:r>
      <w:r w:rsidR="004824B8">
        <w:rPr>
          <w:sz w:val="28"/>
          <w:szCs w:val="28"/>
        </w:rPr>
        <w:t xml:space="preserve">no vidējās darba samaksas </w:t>
      </w:r>
      <w:r w:rsidR="005075E7">
        <w:rPr>
          <w:sz w:val="28"/>
          <w:szCs w:val="28"/>
        </w:rPr>
        <w:t>(2014.gada 4.</w:t>
      </w:r>
      <w:r w:rsidR="00F753BB">
        <w:rPr>
          <w:sz w:val="28"/>
          <w:szCs w:val="28"/>
        </w:rPr>
        <w:t xml:space="preserve">ceturksnī – 786 </w:t>
      </w:r>
      <w:proofErr w:type="spellStart"/>
      <w:r w:rsidR="00F753BB" w:rsidRPr="00F753BB">
        <w:rPr>
          <w:i/>
          <w:sz w:val="28"/>
          <w:szCs w:val="28"/>
        </w:rPr>
        <w:t>euro</w:t>
      </w:r>
      <w:proofErr w:type="spellEnd"/>
      <w:r w:rsidR="005075E7">
        <w:rPr>
          <w:sz w:val="28"/>
          <w:szCs w:val="28"/>
        </w:rPr>
        <w:t xml:space="preserve">) </w:t>
      </w:r>
      <w:r w:rsidR="004824B8">
        <w:rPr>
          <w:sz w:val="28"/>
          <w:szCs w:val="28"/>
        </w:rPr>
        <w:t xml:space="preserve">un Lietuvā </w:t>
      </w:r>
      <w:r w:rsidR="005075E7">
        <w:rPr>
          <w:sz w:val="28"/>
          <w:szCs w:val="28"/>
        </w:rPr>
        <w:t>–</w:t>
      </w:r>
      <w:r w:rsidR="004824B8">
        <w:rPr>
          <w:sz w:val="28"/>
          <w:szCs w:val="28"/>
        </w:rPr>
        <w:t xml:space="preserve"> </w:t>
      </w:r>
      <w:r w:rsidR="005075E7">
        <w:rPr>
          <w:sz w:val="28"/>
          <w:szCs w:val="28"/>
        </w:rPr>
        <w:t>4</w:t>
      </w:r>
      <w:r w:rsidR="004A32F1">
        <w:rPr>
          <w:sz w:val="28"/>
          <w:szCs w:val="28"/>
        </w:rPr>
        <w:t>0,5</w:t>
      </w:r>
      <w:r w:rsidR="005075E7">
        <w:rPr>
          <w:sz w:val="28"/>
          <w:szCs w:val="28"/>
        </w:rPr>
        <w:t>% apmērā no vidējās darba samaksas (2014.gada 4.</w:t>
      </w:r>
      <w:r w:rsidR="00F753BB">
        <w:rPr>
          <w:sz w:val="28"/>
          <w:szCs w:val="28"/>
        </w:rPr>
        <w:t>ceturksnī – 715 </w:t>
      </w:r>
      <w:proofErr w:type="spellStart"/>
      <w:r w:rsidR="00F753BB">
        <w:rPr>
          <w:sz w:val="28"/>
          <w:szCs w:val="28"/>
        </w:rPr>
        <w:t>euro</w:t>
      </w:r>
      <w:proofErr w:type="spellEnd"/>
      <w:r w:rsidR="005075E7">
        <w:rPr>
          <w:sz w:val="28"/>
          <w:szCs w:val="28"/>
        </w:rPr>
        <w:t>).</w:t>
      </w:r>
    </w:p>
    <w:p w:rsidR="00EB7A3E" w:rsidRPr="00C43BE8" w:rsidRDefault="00EB7A3E" w:rsidP="004D7235">
      <w:pPr>
        <w:ind w:right="-109"/>
        <w:jc w:val="both"/>
        <w:rPr>
          <w:sz w:val="28"/>
          <w:szCs w:val="28"/>
        </w:rPr>
      </w:pPr>
    </w:p>
    <w:p w:rsidR="007072BB" w:rsidRPr="00C43BE8" w:rsidRDefault="0076772A" w:rsidP="009F503F">
      <w:pPr>
        <w:ind w:right="-109"/>
        <w:jc w:val="center"/>
        <w:rPr>
          <w:b/>
          <w:bCs/>
          <w:sz w:val="32"/>
          <w:szCs w:val="32"/>
        </w:rPr>
      </w:pPr>
      <w:r>
        <w:rPr>
          <w:b/>
          <w:sz w:val="32"/>
          <w:szCs w:val="32"/>
        </w:rPr>
        <w:lastRenderedPageBreak/>
        <w:t>3</w:t>
      </w:r>
      <w:r w:rsidR="002A26D6">
        <w:rPr>
          <w:b/>
          <w:sz w:val="32"/>
          <w:szCs w:val="32"/>
        </w:rPr>
        <w:t>. </w:t>
      </w:r>
      <w:r w:rsidR="009F503F" w:rsidRPr="00C43BE8">
        <w:rPr>
          <w:b/>
          <w:bCs/>
          <w:sz w:val="32"/>
          <w:szCs w:val="32"/>
        </w:rPr>
        <w:t>Minimālās mēneša darba algas paaugstināšanai</w:t>
      </w:r>
    </w:p>
    <w:p w:rsidR="009F503F" w:rsidRPr="00C43BE8" w:rsidRDefault="009F503F" w:rsidP="009F503F">
      <w:pPr>
        <w:ind w:right="-109"/>
        <w:jc w:val="center"/>
        <w:rPr>
          <w:b/>
          <w:bCs/>
          <w:sz w:val="32"/>
          <w:szCs w:val="32"/>
        </w:rPr>
      </w:pPr>
      <w:r w:rsidRPr="00C43BE8">
        <w:rPr>
          <w:b/>
          <w:bCs/>
          <w:sz w:val="32"/>
          <w:szCs w:val="32"/>
        </w:rPr>
        <w:t>nepieciešamās izmaiņas budžeta ieņēmumos un izdevumos</w:t>
      </w:r>
    </w:p>
    <w:p w:rsidR="009F503F" w:rsidRPr="00C43BE8" w:rsidRDefault="009F503F" w:rsidP="004D7235">
      <w:pPr>
        <w:ind w:right="-109"/>
        <w:jc w:val="both"/>
        <w:rPr>
          <w:sz w:val="28"/>
          <w:szCs w:val="28"/>
        </w:rPr>
      </w:pPr>
    </w:p>
    <w:p w:rsidR="00FC1305" w:rsidRPr="00C43BE8" w:rsidRDefault="00FC1305" w:rsidP="00FC1305">
      <w:pPr>
        <w:pStyle w:val="BodyText2"/>
        <w:spacing w:after="0" w:line="240" w:lineRule="auto"/>
        <w:ind w:firstLine="709"/>
        <w:jc w:val="both"/>
        <w:rPr>
          <w:sz w:val="28"/>
          <w:szCs w:val="28"/>
        </w:rPr>
      </w:pPr>
      <w:r w:rsidRPr="00B250AC">
        <w:rPr>
          <w:sz w:val="28"/>
          <w:szCs w:val="28"/>
        </w:rPr>
        <w:t xml:space="preserve">Finanšu ministrija veica provizoriskos papildu nepieciešamā finansējuma aprēķinus </w:t>
      </w:r>
      <w:r w:rsidRPr="00C43BE8">
        <w:rPr>
          <w:sz w:val="28"/>
          <w:szCs w:val="28"/>
        </w:rPr>
        <w:t>par papildu nepieciešamajiem izdevumiem un gaidāmajiem ieņēmumiem valsts budžetā 201</w:t>
      </w:r>
      <w:r>
        <w:rPr>
          <w:sz w:val="28"/>
          <w:szCs w:val="28"/>
        </w:rPr>
        <w:t>6</w:t>
      </w:r>
      <w:r w:rsidRPr="00C43BE8">
        <w:rPr>
          <w:sz w:val="28"/>
          <w:szCs w:val="28"/>
        </w:rPr>
        <w:t>.gadā, ja no 201</w:t>
      </w:r>
      <w:r>
        <w:rPr>
          <w:sz w:val="28"/>
          <w:szCs w:val="28"/>
        </w:rPr>
        <w:t>6</w:t>
      </w:r>
      <w:r w:rsidRPr="00C43BE8">
        <w:rPr>
          <w:sz w:val="28"/>
          <w:szCs w:val="28"/>
        </w:rPr>
        <w:t xml:space="preserve">.gada 1.janvāra minimālā mēneša darba alga tiek paaugstināta atbilstoši ziņojuma </w:t>
      </w:r>
      <w:r>
        <w:rPr>
          <w:sz w:val="28"/>
          <w:szCs w:val="28"/>
        </w:rPr>
        <w:t>1</w:t>
      </w:r>
      <w:r w:rsidRPr="00C43BE8">
        <w:rPr>
          <w:sz w:val="28"/>
          <w:szCs w:val="28"/>
        </w:rPr>
        <w:t>.</w:t>
      </w:r>
      <w:r>
        <w:rPr>
          <w:sz w:val="28"/>
          <w:szCs w:val="28"/>
        </w:rPr>
        <w:t> </w:t>
      </w:r>
      <w:r w:rsidRPr="00C43BE8">
        <w:rPr>
          <w:sz w:val="28"/>
          <w:szCs w:val="28"/>
        </w:rPr>
        <w:t>nodaļā minētajam 2.</w:t>
      </w:r>
      <w:r>
        <w:rPr>
          <w:sz w:val="28"/>
          <w:szCs w:val="28"/>
        </w:rPr>
        <w:t> </w:t>
      </w:r>
      <w:r w:rsidRPr="00C43BE8">
        <w:rPr>
          <w:sz w:val="28"/>
          <w:szCs w:val="28"/>
        </w:rPr>
        <w:t>un 3.variantam:</w:t>
      </w:r>
    </w:p>
    <w:p w:rsidR="00B250AC" w:rsidRPr="00C43BE8" w:rsidRDefault="00B250AC" w:rsidP="00B250AC">
      <w:pPr>
        <w:jc w:val="both"/>
        <w:rPr>
          <w:sz w:val="28"/>
          <w:szCs w:val="28"/>
        </w:rPr>
      </w:pPr>
      <w:r w:rsidRPr="00C43BE8">
        <w:rPr>
          <w:b/>
          <w:bCs/>
          <w:sz w:val="28"/>
          <w:szCs w:val="28"/>
        </w:rPr>
        <w:t>2.variants</w:t>
      </w:r>
      <w:r w:rsidRPr="00C43BE8">
        <w:rPr>
          <w:sz w:val="28"/>
          <w:szCs w:val="28"/>
        </w:rPr>
        <w:t xml:space="preserve"> – paaugstināt minimālo mēneša darba algu no 3</w:t>
      </w:r>
      <w:r>
        <w:rPr>
          <w:sz w:val="28"/>
          <w:szCs w:val="28"/>
        </w:rPr>
        <w:t>6</w:t>
      </w:r>
      <w:r w:rsidRPr="00C43BE8">
        <w:rPr>
          <w:sz w:val="28"/>
          <w:szCs w:val="28"/>
        </w:rPr>
        <w:t xml:space="preserve">0 </w:t>
      </w:r>
      <w:proofErr w:type="spellStart"/>
      <w:r w:rsidRPr="00C43BE8">
        <w:rPr>
          <w:i/>
          <w:sz w:val="28"/>
          <w:szCs w:val="28"/>
        </w:rPr>
        <w:t>euro</w:t>
      </w:r>
      <w:proofErr w:type="spellEnd"/>
      <w:r w:rsidRPr="00C43BE8">
        <w:rPr>
          <w:sz w:val="28"/>
          <w:szCs w:val="28"/>
        </w:rPr>
        <w:t xml:space="preserve"> </w:t>
      </w:r>
      <w:r w:rsidRPr="00C43BE8">
        <w:rPr>
          <w:b/>
          <w:sz w:val="28"/>
          <w:szCs w:val="28"/>
        </w:rPr>
        <w:t>līdz 3</w:t>
      </w:r>
      <w:r>
        <w:rPr>
          <w:b/>
          <w:sz w:val="28"/>
          <w:szCs w:val="28"/>
        </w:rPr>
        <w:t>67</w:t>
      </w:r>
      <w:r w:rsidRPr="00C43BE8">
        <w:rPr>
          <w:b/>
          <w:sz w:val="28"/>
          <w:szCs w:val="28"/>
        </w:rPr>
        <w:t xml:space="preserve"> </w:t>
      </w:r>
      <w:proofErr w:type="spellStart"/>
      <w:r w:rsidRPr="00C43BE8">
        <w:rPr>
          <w:b/>
          <w:i/>
          <w:sz w:val="28"/>
          <w:szCs w:val="28"/>
        </w:rPr>
        <w:t>euro</w:t>
      </w:r>
      <w:proofErr w:type="spellEnd"/>
      <w:r w:rsidRPr="00C43BE8">
        <w:rPr>
          <w:sz w:val="28"/>
          <w:szCs w:val="28"/>
        </w:rPr>
        <w:t xml:space="preserve"> (</w:t>
      </w:r>
      <w:r>
        <w:rPr>
          <w:sz w:val="28"/>
          <w:szCs w:val="28"/>
        </w:rPr>
        <w:t>1</w:t>
      </w:r>
      <w:r w:rsidRPr="00C43BE8">
        <w:rPr>
          <w:sz w:val="28"/>
          <w:szCs w:val="28"/>
        </w:rPr>
        <w:t>,</w:t>
      </w:r>
      <w:r>
        <w:rPr>
          <w:sz w:val="28"/>
          <w:szCs w:val="28"/>
        </w:rPr>
        <w:t>9</w:t>
      </w:r>
      <w:r w:rsidRPr="00C43BE8">
        <w:rPr>
          <w:sz w:val="28"/>
          <w:szCs w:val="28"/>
        </w:rPr>
        <w:t>%) sākot ar 201</w:t>
      </w:r>
      <w:r>
        <w:rPr>
          <w:sz w:val="28"/>
          <w:szCs w:val="28"/>
        </w:rPr>
        <w:t>6</w:t>
      </w:r>
      <w:r w:rsidRPr="00C43BE8">
        <w:rPr>
          <w:sz w:val="28"/>
          <w:szCs w:val="28"/>
        </w:rPr>
        <w:t>.gada 1.janvāri;</w:t>
      </w:r>
    </w:p>
    <w:p w:rsidR="00710541" w:rsidRDefault="00B250AC" w:rsidP="00B250AC">
      <w:pPr>
        <w:jc w:val="both"/>
        <w:rPr>
          <w:sz w:val="28"/>
          <w:szCs w:val="28"/>
        </w:rPr>
      </w:pPr>
      <w:r w:rsidRPr="00C43BE8">
        <w:rPr>
          <w:b/>
          <w:sz w:val="28"/>
          <w:szCs w:val="28"/>
        </w:rPr>
        <w:t>3.variants</w:t>
      </w:r>
      <w:r w:rsidRPr="00C43BE8">
        <w:rPr>
          <w:sz w:val="28"/>
          <w:szCs w:val="28"/>
        </w:rPr>
        <w:t xml:space="preserve"> – paaugstināt minimālo mēneša darba algu no 3</w:t>
      </w:r>
      <w:r>
        <w:rPr>
          <w:sz w:val="28"/>
          <w:szCs w:val="28"/>
        </w:rPr>
        <w:t>6</w:t>
      </w:r>
      <w:r w:rsidRPr="00C43BE8">
        <w:rPr>
          <w:sz w:val="28"/>
          <w:szCs w:val="28"/>
        </w:rPr>
        <w:t xml:space="preserve">0 </w:t>
      </w:r>
      <w:proofErr w:type="spellStart"/>
      <w:r w:rsidRPr="00C43BE8">
        <w:rPr>
          <w:i/>
          <w:sz w:val="28"/>
          <w:szCs w:val="28"/>
        </w:rPr>
        <w:t>euro</w:t>
      </w:r>
      <w:proofErr w:type="spellEnd"/>
      <w:r w:rsidRPr="00C43BE8">
        <w:rPr>
          <w:sz w:val="28"/>
          <w:szCs w:val="28"/>
        </w:rPr>
        <w:t xml:space="preserve"> </w:t>
      </w:r>
      <w:r w:rsidRPr="00C43BE8">
        <w:rPr>
          <w:b/>
          <w:sz w:val="28"/>
          <w:szCs w:val="28"/>
        </w:rPr>
        <w:t>līdz 3</w:t>
      </w:r>
      <w:r>
        <w:rPr>
          <w:b/>
          <w:sz w:val="28"/>
          <w:szCs w:val="28"/>
        </w:rPr>
        <w:t>75</w:t>
      </w:r>
      <w:r w:rsidRPr="00C43BE8">
        <w:rPr>
          <w:b/>
          <w:sz w:val="28"/>
          <w:szCs w:val="28"/>
        </w:rPr>
        <w:t xml:space="preserve"> </w:t>
      </w:r>
      <w:proofErr w:type="spellStart"/>
      <w:r w:rsidRPr="00C43BE8">
        <w:rPr>
          <w:b/>
          <w:i/>
          <w:sz w:val="28"/>
          <w:szCs w:val="28"/>
        </w:rPr>
        <w:t>euro</w:t>
      </w:r>
      <w:proofErr w:type="spellEnd"/>
      <w:r w:rsidRPr="00C43BE8">
        <w:rPr>
          <w:sz w:val="28"/>
          <w:szCs w:val="28"/>
        </w:rPr>
        <w:t xml:space="preserve"> (4,</w:t>
      </w:r>
      <w:r>
        <w:rPr>
          <w:sz w:val="28"/>
          <w:szCs w:val="28"/>
        </w:rPr>
        <w:t>2</w:t>
      </w:r>
      <w:r w:rsidRPr="00C43BE8">
        <w:rPr>
          <w:sz w:val="28"/>
          <w:szCs w:val="28"/>
        </w:rPr>
        <w:t>%) sākot ar 201</w:t>
      </w:r>
      <w:r>
        <w:rPr>
          <w:sz w:val="28"/>
          <w:szCs w:val="28"/>
        </w:rPr>
        <w:t>6</w:t>
      </w:r>
      <w:r w:rsidRPr="00C43BE8">
        <w:rPr>
          <w:sz w:val="28"/>
          <w:szCs w:val="28"/>
        </w:rPr>
        <w:t>.gada 1.janvāri (skat 6.tabulu).</w:t>
      </w:r>
    </w:p>
    <w:p w:rsidR="00710541" w:rsidRPr="00C43BE8" w:rsidRDefault="00710541" w:rsidP="00B250AC">
      <w:pPr>
        <w:jc w:val="both"/>
        <w:rPr>
          <w:sz w:val="28"/>
          <w:szCs w:val="28"/>
        </w:rPr>
      </w:pPr>
    </w:p>
    <w:p w:rsidR="003D70C7" w:rsidRPr="00C43BE8" w:rsidRDefault="0078560B" w:rsidP="003D70C7">
      <w:pPr>
        <w:jc w:val="right"/>
        <w:rPr>
          <w:sz w:val="28"/>
          <w:szCs w:val="28"/>
        </w:rPr>
      </w:pPr>
      <w:r w:rsidRPr="00C43BE8">
        <w:rPr>
          <w:sz w:val="28"/>
          <w:szCs w:val="28"/>
        </w:rPr>
        <w:t>6</w:t>
      </w:r>
      <w:r w:rsidR="003D70C7" w:rsidRPr="00C43BE8">
        <w:rPr>
          <w:sz w:val="28"/>
          <w:szCs w:val="28"/>
        </w:rPr>
        <w:t>.tabula</w:t>
      </w:r>
    </w:p>
    <w:p w:rsidR="009F503F" w:rsidRPr="00C43BE8" w:rsidRDefault="009F503F" w:rsidP="009F503F">
      <w:pPr>
        <w:pStyle w:val="BodyText2"/>
        <w:spacing w:after="0" w:line="240" w:lineRule="auto"/>
        <w:rPr>
          <w:sz w:val="28"/>
          <w:szCs w:val="28"/>
        </w:rPr>
      </w:pPr>
    </w:p>
    <w:p w:rsidR="001A23B3" w:rsidRPr="00C43BE8" w:rsidRDefault="001A23B3" w:rsidP="001A23B3">
      <w:pPr>
        <w:pStyle w:val="BodyText2"/>
        <w:spacing w:after="0" w:line="240" w:lineRule="auto"/>
        <w:jc w:val="center"/>
        <w:rPr>
          <w:b/>
        </w:rPr>
      </w:pPr>
      <w:r w:rsidRPr="00C43BE8">
        <w:rPr>
          <w:b/>
        </w:rPr>
        <w:t>Finanšu ministrijas aprēķini par papildus nepieciešamajiem izdevumiem</w:t>
      </w:r>
    </w:p>
    <w:p w:rsidR="001A23B3" w:rsidRPr="00C43BE8" w:rsidRDefault="001A23B3" w:rsidP="001A23B3">
      <w:pPr>
        <w:pStyle w:val="BodyText2"/>
        <w:spacing w:after="0" w:line="240" w:lineRule="auto"/>
        <w:jc w:val="center"/>
        <w:rPr>
          <w:b/>
        </w:rPr>
      </w:pPr>
      <w:r w:rsidRPr="00C43BE8">
        <w:rPr>
          <w:b/>
        </w:rPr>
        <w:t>un ieņēmumiem valsts budžetā 201</w:t>
      </w:r>
      <w:r w:rsidR="002A1070">
        <w:rPr>
          <w:b/>
        </w:rPr>
        <w:t>6</w:t>
      </w:r>
      <w:r w:rsidRPr="00C43BE8">
        <w:rPr>
          <w:b/>
        </w:rPr>
        <w:t xml:space="preserve">.gadā, </w:t>
      </w:r>
      <w:r w:rsidRPr="00C43BE8">
        <w:rPr>
          <w:i/>
        </w:rPr>
        <w:t xml:space="preserve">milj. </w:t>
      </w:r>
      <w:proofErr w:type="spellStart"/>
      <w:r w:rsidRPr="00C43BE8">
        <w:rPr>
          <w:i/>
        </w:rPr>
        <w:t>euro</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2268"/>
        <w:gridCol w:w="2268"/>
      </w:tblGrid>
      <w:tr w:rsidR="001A23B3" w:rsidRPr="00C43BE8" w:rsidTr="00984551">
        <w:trPr>
          <w:cantSplit/>
          <w:trHeight w:val="605"/>
        </w:trPr>
        <w:tc>
          <w:tcPr>
            <w:tcW w:w="5211" w:type="dxa"/>
            <w:tcBorders>
              <w:bottom w:val="single" w:sz="4" w:space="0" w:color="auto"/>
            </w:tcBorders>
            <w:shd w:val="clear" w:color="auto" w:fill="auto"/>
          </w:tcPr>
          <w:p w:rsidR="001A23B3" w:rsidRPr="00984551" w:rsidRDefault="001A23B3" w:rsidP="006409D2">
            <w:pPr>
              <w:pStyle w:val="BodyText2"/>
              <w:spacing w:after="0" w:line="240" w:lineRule="auto"/>
              <w:rPr>
                <w:b/>
              </w:rPr>
            </w:pPr>
          </w:p>
        </w:tc>
        <w:tc>
          <w:tcPr>
            <w:tcW w:w="2268" w:type="dxa"/>
            <w:tcBorders>
              <w:bottom w:val="single" w:sz="4" w:space="0" w:color="auto"/>
            </w:tcBorders>
            <w:shd w:val="clear" w:color="auto" w:fill="auto"/>
          </w:tcPr>
          <w:p w:rsidR="001A23B3" w:rsidRPr="00984551" w:rsidRDefault="001A23B3" w:rsidP="006409D2">
            <w:pPr>
              <w:pStyle w:val="BodyText2"/>
              <w:spacing w:after="0" w:line="240" w:lineRule="auto"/>
              <w:jc w:val="center"/>
              <w:rPr>
                <w:b/>
              </w:rPr>
            </w:pPr>
            <w:r w:rsidRPr="00984551">
              <w:rPr>
                <w:b/>
              </w:rPr>
              <w:t>2.variants</w:t>
            </w:r>
          </w:p>
          <w:p w:rsidR="001A23B3" w:rsidRPr="00984551" w:rsidRDefault="001A23B3" w:rsidP="002A1070">
            <w:pPr>
              <w:pStyle w:val="BodyText2"/>
              <w:spacing w:after="0" w:line="240" w:lineRule="auto"/>
              <w:jc w:val="center"/>
              <w:rPr>
                <w:b/>
              </w:rPr>
            </w:pPr>
            <w:r w:rsidRPr="00984551">
              <w:rPr>
                <w:b/>
                <w:i/>
              </w:rPr>
              <w:t>min. alga</w:t>
            </w:r>
            <w:r w:rsidRPr="00984551">
              <w:rPr>
                <w:b/>
              </w:rPr>
              <w:t xml:space="preserve"> 3</w:t>
            </w:r>
            <w:r w:rsidR="002A1070" w:rsidRPr="00984551">
              <w:rPr>
                <w:b/>
              </w:rPr>
              <w:t>67</w:t>
            </w:r>
            <w:r w:rsidRPr="00984551">
              <w:rPr>
                <w:b/>
              </w:rPr>
              <w:t xml:space="preserve"> </w:t>
            </w:r>
            <w:proofErr w:type="spellStart"/>
            <w:r w:rsidRPr="00984551">
              <w:rPr>
                <w:b/>
                <w:i/>
              </w:rPr>
              <w:t>euro</w:t>
            </w:r>
            <w:proofErr w:type="spellEnd"/>
          </w:p>
        </w:tc>
        <w:tc>
          <w:tcPr>
            <w:tcW w:w="2268" w:type="dxa"/>
            <w:tcBorders>
              <w:bottom w:val="single" w:sz="4" w:space="0" w:color="auto"/>
            </w:tcBorders>
            <w:shd w:val="clear" w:color="auto" w:fill="auto"/>
          </w:tcPr>
          <w:p w:rsidR="001A23B3" w:rsidRPr="00984551" w:rsidRDefault="001A23B3" w:rsidP="006409D2">
            <w:pPr>
              <w:pStyle w:val="BodyText2"/>
              <w:spacing w:after="0" w:line="240" w:lineRule="auto"/>
              <w:jc w:val="center"/>
              <w:rPr>
                <w:b/>
              </w:rPr>
            </w:pPr>
            <w:r w:rsidRPr="00984551">
              <w:rPr>
                <w:b/>
              </w:rPr>
              <w:t>3.variants</w:t>
            </w:r>
          </w:p>
          <w:p w:rsidR="001A23B3" w:rsidRPr="00984551" w:rsidRDefault="001A23B3" w:rsidP="002A1070">
            <w:pPr>
              <w:pStyle w:val="BodyText2"/>
              <w:spacing w:after="0" w:line="240" w:lineRule="auto"/>
              <w:jc w:val="center"/>
              <w:rPr>
                <w:b/>
              </w:rPr>
            </w:pPr>
            <w:r w:rsidRPr="00984551">
              <w:rPr>
                <w:b/>
                <w:i/>
              </w:rPr>
              <w:t>min. alga</w:t>
            </w:r>
            <w:r w:rsidRPr="00984551">
              <w:rPr>
                <w:b/>
              </w:rPr>
              <w:t xml:space="preserve"> 3</w:t>
            </w:r>
            <w:r w:rsidR="002A1070" w:rsidRPr="00984551">
              <w:rPr>
                <w:b/>
              </w:rPr>
              <w:t>75</w:t>
            </w:r>
            <w:r w:rsidRPr="00984551">
              <w:rPr>
                <w:b/>
              </w:rPr>
              <w:t xml:space="preserve"> </w:t>
            </w:r>
            <w:proofErr w:type="spellStart"/>
            <w:r w:rsidRPr="00984551">
              <w:rPr>
                <w:b/>
                <w:i/>
              </w:rPr>
              <w:t>euro</w:t>
            </w:r>
            <w:proofErr w:type="spellEnd"/>
            <w:r w:rsidRPr="00984551">
              <w:rPr>
                <w:b/>
                <w:i/>
              </w:rPr>
              <w:t xml:space="preserve"> </w:t>
            </w:r>
          </w:p>
        </w:tc>
      </w:tr>
      <w:tr w:rsidR="00984551" w:rsidRPr="00C43BE8" w:rsidTr="00984551">
        <w:trPr>
          <w:trHeight w:val="249"/>
        </w:trPr>
        <w:tc>
          <w:tcPr>
            <w:tcW w:w="5211" w:type="dxa"/>
            <w:tcBorders>
              <w:bottom w:val="nil"/>
            </w:tcBorders>
            <w:shd w:val="clear" w:color="auto" w:fill="auto"/>
          </w:tcPr>
          <w:p w:rsidR="00984551" w:rsidRPr="00984551" w:rsidRDefault="00984551" w:rsidP="00E04D25">
            <w:pPr>
              <w:pStyle w:val="Footer"/>
              <w:tabs>
                <w:tab w:val="clear" w:pos="4153"/>
                <w:tab w:val="clear" w:pos="8306"/>
              </w:tabs>
              <w:rPr>
                <w:b/>
              </w:rPr>
            </w:pPr>
            <w:r w:rsidRPr="00984551">
              <w:rPr>
                <w:b/>
              </w:rPr>
              <w:t>1. Izmaiņas budžeta ieņēmumos</w:t>
            </w:r>
            <w:r w:rsidRPr="00984551">
              <w:rPr>
                <w:b/>
                <w:vertAlign w:val="superscript"/>
              </w:rPr>
              <w:t>*</w:t>
            </w:r>
            <w:r w:rsidRPr="00984551">
              <w:rPr>
                <w:b/>
              </w:rPr>
              <w:t>:</w:t>
            </w:r>
          </w:p>
        </w:tc>
        <w:tc>
          <w:tcPr>
            <w:tcW w:w="2268" w:type="dxa"/>
            <w:tcBorders>
              <w:bottom w:val="nil"/>
            </w:tcBorders>
            <w:shd w:val="clear" w:color="auto" w:fill="auto"/>
          </w:tcPr>
          <w:p w:rsidR="00984551" w:rsidRPr="00984551" w:rsidRDefault="00984551" w:rsidP="00E04D25">
            <w:pPr>
              <w:pStyle w:val="BodyText2"/>
              <w:spacing w:after="0" w:line="240" w:lineRule="auto"/>
              <w:jc w:val="center"/>
              <w:rPr>
                <w:b/>
              </w:rPr>
            </w:pPr>
            <w:r w:rsidRPr="00984551">
              <w:rPr>
                <w:b/>
              </w:rPr>
              <w:t>+3,99</w:t>
            </w:r>
          </w:p>
        </w:tc>
        <w:tc>
          <w:tcPr>
            <w:tcW w:w="2268" w:type="dxa"/>
            <w:tcBorders>
              <w:bottom w:val="nil"/>
            </w:tcBorders>
            <w:shd w:val="clear" w:color="auto" w:fill="auto"/>
          </w:tcPr>
          <w:p w:rsidR="00984551" w:rsidRPr="00984551" w:rsidRDefault="00984551" w:rsidP="00E04D25">
            <w:pPr>
              <w:pStyle w:val="BodyText2"/>
              <w:spacing w:after="0" w:line="240" w:lineRule="auto"/>
              <w:jc w:val="center"/>
              <w:rPr>
                <w:b/>
              </w:rPr>
            </w:pPr>
            <w:r w:rsidRPr="00984551">
              <w:rPr>
                <w:b/>
              </w:rPr>
              <w:t>+8,93</w:t>
            </w:r>
          </w:p>
        </w:tc>
      </w:tr>
      <w:tr w:rsidR="00984551" w:rsidRPr="00C43BE8" w:rsidTr="00984551">
        <w:trPr>
          <w:trHeight w:val="249"/>
        </w:trPr>
        <w:tc>
          <w:tcPr>
            <w:tcW w:w="5211" w:type="dxa"/>
            <w:tcBorders>
              <w:top w:val="nil"/>
              <w:bottom w:val="nil"/>
            </w:tcBorders>
            <w:shd w:val="clear" w:color="auto" w:fill="auto"/>
          </w:tcPr>
          <w:p w:rsidR="00984551" w:rsidRPr="00984551" w:rsidRDefault="00984551" w:rsidP="00E04D25">
            <w:pPr>
              <w:pStyle w:val="Footer"/>
              <w:tabs>
                <w:tab w:val="clear" w:pos="4153"/>
                <w:tab w:val="clear" w:pos="8306"/>
              </w:tabs>
              <w:ind w:left="284"/>
              <w:rPr>
                <w:i/>
              </w:rPr>
            </w:pPr>
            <w:r w:rsidRPr="00984551">
              <w:rPr>
                <w:i/>
              </w:rPr>
              <w:t>1.1. valsts pamatbudžets</w:t>
            </w:r>
          </w:p>
        </w:tc>
        <w:tc>
          <w:tcPr>
            <w:tcW w:w="2268" w:type="dxa"/>
            <w:tcBorders>
              <w:top w:val="nil"/>
              <w:bottom w:val="nil"/>
            </w:tcBorders>
            <w:shd w:val="clear" w:color="auto" w:fill="auto"/>
          </w:tcPr>
          <w:p w:rsidR="00984551" w:rsidRPr="00984551" w:rsidRDefault="00984551" w:rsidP="00E04D25">
            <w:pPr>
              <w:pStyle w:val="BodyText2"/>
              <w:spacing w:after="0" w:line="240" w:lineRule="auto"/>
              <w:jc w:val="center"/>
              <w:rPr>
                <w:i/>
              </w:rPr>
            </w:pPr>
            <w:r w:rsidRPr="00984551">
              <w:rPr>
                <w:i/>
              </w:rPr>
              <w:t>+0,69</w:t>
            </w:r>
          </w:p>
        </w:tc>
        <w:tc>
          <w:tcPr>
            <w:tcW w:w="2268" w:type="dxa"/>
            <w:tcBorders>
              <w:top w:val="nil"/>
              <w:bottom w:val="nil"/>
            </w:tcBorders>
            <w:shd w:val="clear" w:color="auto" w:fill="auto"/>
          </w:tcPr>
          <w:p w:rsidR="00984551" w:rsidRPr="00984551" w:rsidRDefault="00984551" w:rsidP="00E04D25">
            <w:pPr>
              <w:pStyle w:val="BodyText2"/>
              <w:spacing w:after="0" w:line="240" w:lineRule="auto"/>
              <w:jc w:val="center"/>
              <w:rPr>
                <w:i/>
              </w:rPr>
            </w:pPr>
            <w:r w:rsidRPr="00984551">
              <w:rPr>
                <w:i/>
              </w:rPr>
              <w:t>+1,54</w:t>
            </w:r>
          </w:p>
        </w:tc>
      </w:tr>
      <w:tr w:rsidR="00984551" w:rsidRPr="00C43BE8" w:rsidTr="00984551">
        <w:trPr>
          <w:trHeight w:val="500"/>
        </w:trPr>
        <w:tc>
          <w:tcPr>
            <w:tcW w:w="5211" w:type="dxa"/>
            <w:tcBorders>
              <w:top w:val="nil"/>
              <w:bottom w:val="nil"/>
            </w:tcBorders>
            <w:shd w:val="clear" w:color="auto" w:fill="auto"/>
          </w:tcPr>
          <w:p w:rsidR="00984551" w:rsidRPr="00984551" w:rsidRDefault="00984551" w:rsidP="00E04D25">
            <w:pPr>
              <w:pStyle w:val="Footer"/>
              <w:tabs>
                <w:tab w:val="clear" w:pos="4153"/>
                <w:tab w:val="clear" w:pos="8306"/>
              </w:tabs>
              <w:ind w:left="284"/>
              <w:rPr>
                <w:i/>
              </w:rPr>
            </w:pPr>
            <w:r w:rsidRPr="00984551">
              <w:rPr>
                <w:i/>
              </w:rPr>
              <w:t>1.2. speciālais budžets</w:t>
            </w:r>
          </w:p>
          <w:p w:rsidR="00984551" w:rsidRPr="00984551" w:rsidRDefault="00984551" w:rsidP="00E04D25">
            <w:pPr>
              <w:pStyle w:val="Footer"/>
              <w:tabs>
                <w:tab w:val="clear" w:pos="4153"/>
                <w:tab w:val="clear" w:pos="8306"/>
              </w:tabs>
              <w:ind w:left="284"/>
              <w:rPr>
                <w:i/>
              </w:rPr>
            </w:pPr>
            <w:r w:rsidRPr="00984551">
              <w:rPr>
                <w:i/>
              </w:rPr>
              <w:t>1.3. pašvaldību budžets</w:t>
            </w:r>
          </w:p>
        </w:tc>
        <w:tc>
          <w:tcPr>
            <w:tcW w:w="2268" w:type="dxa"/>
            <w:tcBorders>
              <w:top w:val="nil"/>
              <w:bottom w:val="nil"/>
            </w:tcBorders>
            <w:shd w:val="clear" w:color="auto" w:fill="auto"/>
          </w:tcPr>
          <w:p w:rsidR="00984551" w:rsidRPr="00984551" w:rsidRDefault="00984551" w:rsidP="00E04D25">
            <w:pPr>
              <w:pStyle w:val="BodyText2"/>
              <w:spacing w:after="0" w:line="240" w:lineRule="auto"/>
              <w:jc w:val="center"/>
              <w:rPr>
                <w:i/>
              </w:rPr>
            </w:pPr>
            <w:r w:rsidRPr="00984551">
              <w:rPr>
                <w:i/>
              </w:rPr>
              <w:t>+2,13</w:t>
            </w:r>
          </w:p>
          <w:p w:rsidR="00984551" w:rsidRPr="00984551" w:rsidRDefault="00984551" w:rsidP="00E04D25">
            <w:pPr>
              <w:pStyle w:val="BodyText2"/>
              <w:spacing w:after="0" w:line="240" w:lineRule="auto"/>
              <w:jc w:val="center"/>
              <w:rPr>
                <w:i/>
              </w:rPr>
            </w:pPr>
            <w:r w:rsidRPr="00984551">
              <w:rPr>
                <w:i/>
              </w:rPr>
              <w:t>+1,17</w:t>
            </w:r>
          </w:p>
        </w:tc>
        <w:tc>
          <w:tcPr>
            <w:tcW w:w="2268" w:type="dxa"/>
            <w:tcBorders>
              <w:top w:val="nil"/>
              <w:bottom w:val="nil"/>
            </w:tcBorders>
            <w:shd w:val="clear" w:color="auto" w:fill="auto"/>
          </w:tcPr>
          <w:p w:rsidR="00984551" w:rsidRPr="00984551" w:rsidRDefault="00984551" w:rsidP="00E04D25">
            <w:pPr>
              <w:pStyle w:val="BodyText2"/>
              <w:spacing w:after="0" w:line="240" w:lineRule="auto"/>
              <w:jc w:val="center"/>
              <w:rPr>
                <w:i/>
              </w:rPr>
            </w:pPr>
            <w:r w:rsidRPr="00984551">
              <w:rPr>
                <w:i/>
              </w:rPr>
              <w:t>+4,77</w:t>
            </w:r>
          </w:p>
          <w:p w:rsidR="00984551" w:rsidRPr="00984551" w:rsidRDefault="00984551" w:rsidP="00E04D25">
            <w:pPr>
              <w:pStyle w:val="BodyText2"/>
              <w:spacing w:after="0" w:line="240" w:lineRule="auto"/>
              <w:jc w:val="center"/>
              <w:rPr>
                <w:i/>
              </w:rPr>
            </w:pPr>
            <w:r w:rsidRPr="00984551">
              <w:rPr>
                <w:i/>
              </w:rPr>
              <w:t>+2,62</w:t>
            </w:r>
          </w:p>
        </w:tc>
      </w:tr>
      <w:tr w:rsidR="00984551" w:rsidRPr="00C43BE8" w:rsidTr="00984551">
        <w:trPr>
          <w:trHeight w:val="249"/>
        </w:trPr>
        <w:tc>
          <w:tcPr>
            <w:tcW w:w="5211" w:type="dxa"/>
            <w:tcBorders>
              <w:bottom w:val="nil"/>
            </w:tcBorders>
            <w:shd w:val="clear" w:color="auto" w:fill="auto"/>
          </w:tcPr>
          <w:p w:rsidR="00984551" w:rsidRPr="00984551" w:rsidRDefault="00984551" w:rsidP="00E04D25">
            <w:pPr>
              <w:rPr>
                <w:b/>
              </w:rPr>
            </w:pPr>
            <w:r w:rsidRPr="00984551">
              <w:rPr>
                <w:b/>
              </w:rPr>
              <w:t>2. Izmaiņas budžeta izdevumos:</w:t>
            </w:r>
          </w:p>
        </w:tc>
        <w:tc>
          <w:tcPr>
            <w:tcW w:w="2268" w:type="dxa"/>
            <w:tcBorders>
              <w:bottom w:val="nil"/>
            </w:tcBorders>
            <w:shd w:val="clear" w:color="auto" w:fill="auto"/>
          </w:tcPr>
          <w:p w:rsidR="00984551" w:rsidRPr="00984551" w:rsidRDefault="00984551" w:rsidP="00E04D25">
            <w:pPr>
              <w:pStyle w:val="BodyText2"/>
              <w:spacing w:after="0" w:line="240" w:lineRule="auto"/>
              <w:jc w:val="center"/>
              <w:rPr>
                <w:b/>
              </w:rPr>
            </w:pPr>
            <w:r w:rsidRPr="00984551">
              <w:rPr>
                <w:b/>
              </w:rPr>
              <w:t>-2,84</w:t>
            </w:r>
          </w:p>
        </w:tc>
        <w:tc>
          <w:tcPr>
            <w:tcW w:w="2268" w:type="dxa"/>
            <w:tcBorders>
              <w:bottom w:val="nil"/>
            </w:tcBorders>
            <w:shd w:val="clear" w:color="auto" w:fill="auto"/>
          </w:tcPr>
          <w:p w:rsidR="00984551" w:rsidRPr="00984551" w:rsidRDefault="00984551" w:rsidP="00E04D25">
            <w:pPr>
              <w:pStyle w:val="BodyText2"/>
              <w:spacing w:after="0" w:line="240" w:lineRule="auto"/>
              <w:jc w:val="center"/>
              <w:rPr>
                <w:b/>
              </w:rPr>
            </w:pPr>
            <w:r w:rsidRPr="00984551">
              <w:rPr>
                <w:b/>
              </w:rPr>
              <w:t>-6,51</w:t>
            </w:r>
          </w:p>
        </w:tc>
      </w:tr>
      <w:tr w:rsidR="00984551" w:rsidRPr="00C43BE8" w:rsidTr="00984551">
        <w:trPr>
          <w:trHeight w:val="249"/>
        </w:trPr>
        <w:tc>
          <w:tcPr>
            <w:tcW w:w="5211" w:type="dxa"/>
            <w:tcBorders>
              <w:top w:val="nil"/>
              <w:bottom w:val="nil"/>
            </w:tcBorders>
            <w:shd w:val="clear" w:color="auto" w:fill="auto"/>
          </w:tcPr>
          <w:p w:rsidR="00984551" w:rsidRPr="00984551" w:rsidRDefault="00984551" w:rsidP="00E04D25">
            <w:pPr>
              <w:pStyle w:val="Footer"/>
              <w:tabs>
                <w:tab w:val="clear" w:pos="4153"/>
                <w:tab w:val="clear" w:pos="8306"/>
              </w:tabs>
              <w:ind w:left="284"/>
              <w:rPr>
                <w:i/>
              </w:rPr>
            </w:pPr>
            <w:r w:rsidRPr="00984551">
              <w:rPr>
                <w:i/>
              </w:rPr>
              <w:t>2.1. valsts pamatbudžets</w:t>
            </w:r>
          </w:p>
        </w:tc>
        <w:tc>
          <w:tcPr>
            <w:tcW w:w="2268" w:type="dxa"/>
            <w:tcBorders>
              <w:top w:val="nil"/>
              <w:bottom w:val="nil"/>
            </w:tcBorders>
            <w:shd w:val="clear" w:color="auto" w:fill="auto"/>
          </w:tcPr>
          <w:p w:rsidR="00984551" w:rsidRPr="00984551" w:rsidRDefault="00984551" w:rsidP="00E04D25">
            <w:pPr>
              <w:pStyle w:val="BodyText2"/>
              <w:spacing w:after="0" w:line="240" w:lineRule="auto"/>
              <w:jc w:val="center"/>
              <w:rPr>
                <w:i/>
              </w:rPr>
            </w:pPr>
            <w:r w:rsidRPr="00984551">
              <w:rPr>
                <w:i/>
              </w:rPr>
              <w:t>-2,14</w:t>
            </w:r>
          </w:p>
        </w:tc>
        <w:tc>
          <w:tcPr>
            <w:tcW w:w="2268" w:type="dxa"/>
            <w:tcBorders>
              <w:top w:val="nil"/>
              <w:bottom w:val="nil"/>
            </w:tcBorders>
            <w:shd w:val="clear" w:color="auto" w:fill="auto"/>
          </w:tcPr>
          <w:p w:rsidR="00984551" w:rsidRPr="00984551" w:rsidRDefault="00984551" w:rsidP="00E04D25">
            <w:pPr>
              <w:pStyle w:val="BodyText2"/>
              <w:spacing w:after="0" w:line="240" w:lineRule="auto"/>
              <w:jc w:val="center"/>
              <w:rPr>
                <w:i/>
              </w:rPr>
            </w:pPr>
            <w:r w:rsidRPr="00984551">
              <w:rPr>
                <w:i/>
              </w:rPr>
              <w:t>-4,95</w:t>
            </w:r>
          </w:p>
        </w:tc>
      </w:tr>
      <w:tr w:rsidR="00984551" w:rsidRPr="00C43BE8" w:rsidTr="00984551">
        <w:trPr>
          <w:trHeight w:val="249"/>
        </w:trPr>
        <w:tc>
          <w:tcPr>
            <w:tcW w:w="5211" w:type="dxa"/>
            <w:tcBorders>
              <w:top w:val="nil"/>
              <w:bottom w:val="nil"/>
            </w:tcBorders>
            <w:shd w:val="clear" w:color="auto" w:fill="auto"/>
          </w:tcPr>
          <w:p w:rsidR="00984551" w:rsidRPr="00984551" w:rsidRDefault="00984551" w:rsidP="00E04D25">
            <w:pPr>
              <w:pStyle w:val="Footer"/>
              <w:tabs>
                <w:tab w:val="clear" w:pos="4153"/>
                <w:tab w:val="clear" w:pos="8306"/>
              </w:tabs>
              <w:ind w:left="284"/>
              <w:rPr>
                <w:i/>
              </w:rPr>
            </w:pPr>
            <w:r w:rsidRPr="00984551">
              <w:rPr>
                <w:i/>
              </w:rPr>
              <w:t>2.2. speciālais budžets</w:t>
            </w:r>
          </w:p>
        </w:tc>
        <w:tc>
          <w:tcPr>
            <w:tcW w:w="2268" w:type="dxa"/>
            <w:tcBorders>
              <w:top w:val="nil"/>
              <w:bottom w:val="nil"/>
            </w:tcBorders>
            <w:shd w:val="clear" w:color="auto" w:fill="auto"/>
          </w:tcPr>
          <w:p w:rsidR="00984551" w:rsidRPr="00984551" w:rsidRDefault="00984551" w:rsidP="00E04D25">
            <w:pPr>
              <w:pStyle w:val="BodyText2"/>
              <w:spacing w:after="0" w:line="240" w:lineRule="auto"/>
              <w:jc w:val="center"/>
              <w:rPr>
                <w:i/>
              </w:rPr>
            </w:pPr>
            <w:r w:rsidRPr="00984551">
              <w:rPr>
                <w:i/>
              </w:rPr>
              <w:t xml:space="preserve"> 0,00</w:t>
            </w:r>
          </w:p>
        </w:tc>
        <w:tc>
          <w:tcPr>
            <w:tcW w:w="2268" w:type="dxa"/>
            <w:tcBorders>
              <w:top w:val="nil"/>
              <w:bottom w:val="nil"/>
            </w:tcBorders>
            <w:shd w:val="clear" w:color="auto" w:fill="auto"/>
          </w:tcPr>
          <w:p w:rsidR="00984551" w:rsidRPr="00984551" w:rsidRDefault="00984551" w:rsidP="00E04D25">
            <w:pPr>
              <w:pStyle w:val="BodyText2"/>
              <w:spacing w:after="0" w:line="240" w:lineRule="auto"/>
              <w:jc w:val="center"/>
              <w:rPr>
                <w:i/>
              </w:rPr>
            </w:pPr>
            <w:r w:rsidRPr="00984551">
              <w:rPr>
                <w:i/>
              </w:rPr>
              <w:t xml:space="preserve">  0,00</w:t>
            </w:r>
          </w:p>
        </w:tc>
      </w:tr>
      <w:tr w:rsidR="00984551" w:rsidRPr="00C43BE8" w:rsidTr="00984551">
        <w:trPr>
          <w:trHeight w:val="249"/>
        </w:trPr>
        <w:tc>
          <w:tcPr>
            <w:tcW w:w="5211" w:type="dxa"/>
            <w:tcBorders>
              <w:top w:val="nil"/>
              <w:bottom w:val="single" w:sz="4" w:space="0" w:color="auto"/>
            </w:tcBorders>
            <w:shd w:val="clear" w:color="auto" w:fill="auto"/>
          </w:tcPr>
          <w:p w:rsidR="00984551" w:rsidRPr="00984551" w:rsidRDefault="00984551" w:rsidP="00E04D25">
            <w:pPr>
              <w:pStyle w:val="Footer"/>
              <w:tabs>
                <w:tab w:val="clear" w:pos="4153"/>
                <w:tab w:val="clear" w:pos="8306"/>
              </w:tabs>
              <w:ind w:left="284"/>
              <w:rPr>
                <w:i/>
              </w:rPr>
            </w:pPr>
            <w:r w:rsidRPr="00984551">
              <w:rPr>
                <w:i/>
              </w:rPr>
              <w:t>2.3. pašvaldību budžets</w:t>
            </w:r>
          </w:p>
        </w:tc>
        <w:tc>
          <w:tcPr>
            <w:tcW w:w="2268" w:type="dxa"/>
            <w:tcBorders>
              <w:top w:val="nil"/>
              <w:bottom w:val="single" w:sz="4" w:space="0" w:color="auto"/>
            </w:tcBorders>
            <w:shd w:val="clear" w:color="auto" w:fill="auto"/>
          </w:tcPr>
          <w:p w:rsidR="00984551" w:rsidRPr="00984551" w:rsidRDefault="00984551" w:rsidP="00E04D25">
            <w:pPr>
              <w:pStyle w:val="BodyText2"/>
              <w:spacing w:after="0" w:line="240" w:lineRule="auto"/>
              <w:jc w:val="center"/>
              <w:rPr>
                <w:i/>
              </w:rPr>
            </w:pPr>
            <w:r w:rsidRPr="00984551">
              <w:rPr>
                <w:i/>
              </w:rPr>
              <w:t>-0,70</w:t>
            </w:r>
          </w:p>
        </w:tc>
        <w:tc>
          <w:tcPr>
            <w:tcW w:w="2268" w:type="dxa"/>
            <w:tcBorders>
              <w:top w:val="nil"/>
              <w:bottom w:val="single" w:sz="4" w:space="0" w:color="auto"/>
            </w:tcBorders>
            <w:shd w:val="clear" w:color="auto" w:fill="auto"/>
          </w:tcPr>
          <w:p w:rsidR="00984551" w:rsidRPr="00984551" w:rsidRDefault="00984551" w:rsidP="00E04D25">
            <w:pPr>
              <w:pStyle w:val="BodyText2"/>
              <w:spacing w:after="0" w:line="240" w:lineRule="auto"/>
              <w:jc w:val="center"/>
              <w:rPr>
                <w:i/>
              </w:rPr>
            </w:pPr>
            <w:r w:rsidRPr="00984551">
              <w:rPr>
                <w:i/>
              </w:rPr>
              <w:t>-1,56</w:t>
            </w:r>
          </w:p>
        </w:tc>
      </w:tr>
      <w:tr w:rsidR="00984551" w:rsidRPr="00C43BE8" w:rsidTr="00984551">
        <w:trPr>
          <w:trHeight w:val="249"/>
        </w:trPr>
        <w:tc>
          <w:tcPr>
            <w:tcW w:w="5211" w:type="dxa"/>
            <w:tcBorders>
              <w:bottom w:val="nil"/>
            </w:tcBorders>
            <w:shd w:val="clear" w:color="auto" w:fill="FFFFCC"/>
          </w:tcPr>
          <w:p w:rsidR="00984551" w:rsidRPr="00984551" w:rsidRDefault="00984551" w:rsidP="00E04D25">
            <w:r w:rsidRPr="00984551">
              <w:rPr>
                <w:b/>
              </w:rPr>
              <w:t>3. Finansiālā ietekme:</w:t>
            </w:r>
          </w:p>
        </w:tc>
        <w:tc>
          <w:tcPr>
            <w:tcW w:w="2268" w:type="dxa"/>
            <w:tcBorders>
              <w:bottom w:val="nil"/>
            </w:tcBorders>
            <w:shd w:val="clear" w:color="auto" w:fill="FFFFCC"/>
          </w:tcPr>
          <w:p w:rsidR="00984551" w:rsidRPr="00984551" w:rsidRDefault="00984551" w:rsidP="00E04D25">
            <w:pPr>
              <w:pStyle w:val="BodyText2"/>
              <w:spacing w:after="0" w:line="240" w:lineRule="auto"/>
              <w:jc w:val="center"/>
              <w:rPr>
                <w:b/>
              </w:rPr>
            </w:pPr>
            <w:r w:rsidRPr="00984551">
              <w:rPr>
                <w:b/>
              </w:rPr>
              <w:t>+1,15</w:t>
            </w:r>
          </w:p>
        </w:tc>
        <w:tc>
          <w:tcPr>
            <w:tcW w:w="2268" w:type="dxa"/>
            <w:tcBorders>
              <w:bottom w:val="nil"/>
            </w:tcBorders>
            <w:shd w:val="clear" w:color="auto" w:fill="FFFFCC"/>
          </w:tcPr>
          <w:p w:rsidR="00984551" w:rsidRPr="00984551" w:rsidRDefault="00984551" w:rsidP="00E04D25">
            <w:pPr>
              <w:pStyle w:val="BodyText2"/>
              <w:spacing w:after="0" w:line="240" w:lineRule="auto"/>
              <w:jc w:val="center"/>
              <w:rPr>
                <w:b/>
              </w:rPr>
            </w:pPr>
            <w:r w:rsidRPr="00984551">
              <w:rPr>
                <w:b/>
              </w:rPr>
              <w:t>+2,42</w:t>
            </w:r>
          </w:p>
        </w:tc>
      </w:tr>
      <w:tr w:rsidR="00984551" w:rsidRPr="00C43BE8" w:rsidTr="00984551">
        <w:trPr>
          <w:trHeight w:val="249"/>
        </w:trPr>
        <w:tc>
          <w:tcPr>
            <w:tcW w:w="5211" w:type="dxa"/>
            <w:tcBorders>
              <w:top w:val="nil"/>
              <w:bottom w:val="nil"/>
            </w:tcBorders>
            <w:shd w:val="clear" w:color="auto" w:fill="FFFFCC"/>
          </w:tcPr>
          <w:p w:rsidR="00984551" w:rsidRPr="00984551" w:rsidRDefault="00984551" w:rsidP="00E04D25">
            <w:pPr>
              <w:pStyle w:val="Footer"/>
              <w:tabs>
                <w:tab w:val="clear" w:pos="4153"/>
                <w:tab w:val="clear" w:pos="8306"/>
              </w:tabs>
              <w:ind w:left="340"/>
              <w:rPr>
                <w:i/>
              </w:rPr>
            </w:pPr>
            <w:r w:rsidRPr="00984551">
              <w:rPr>
                <w:i/>
              </w:rPr>
              <w:t>3.1. valsts pamatbudžets</w:t>
            </w:r>
          </w:p>
        </w:tc>
        <w:tc>
          <w:tcPr>
            <w:tcW w:w="2268" w:type="dxa"/>
            <w:tcBorders>
              <w:top w:val="nil"/>
              <w:bottom w:val="nil"/>
            </w:tcBorders>
            <w:shd w:val="clear" w:color="auto" w:fill="FFFFCC"/>
          </w:tcPr>
          <w:p w:rsidR="00984551" w:rsidRPr="00984551" w:rsidRDefault="00984551" w:rsidP="00E04D25">
            <w:pPr>
              <w:pStyle w:val="BodyText2"/>
              <w:spacing w:after="0" w:line="240" w:lineRule="auto"/>
              <w:jc w:val="center"/>
              <w:rPr>
                <w:i/>
              </w:rPr>
            </w:pPr>
            <w:r w:rsidRPr="00984551">
              <w:rPr>
                <w:i/>
              </w:rPr>
              <w:t>-1,45</w:t>
            </w:r>
          </w:p>
        </w:tc>
        <w:tc>
          <w:tcPr>
            <w:tcW w:w="2268" w:type="dxa"/>
            <w:tcBorders>
              <w:top w:val="nil"/>
              <w:bottom w:val="nil"/>
            </w:tcBorders>
            <w:shd w:val="clear" w:color="auto" w:fill="FFFFCC"/>
          </w:tcPr>
          <w:p w:rsidR="00984551" w:rsidRPr="00984551" w:rsidRDefault="00984551" w:rsidP="00E04D25">
            <w:pPr>
              <w:pStyle w:val="BodyText2"/>
              <w:spacing w:after="0" w:line="240" w:lineRule="auto"/>
              <w:jc w:val="center"/>
              <w:rPr>
                <w:i/>
              </w:rPr>
            </w:pPr>
            <w:r w:rsidRPr="00984551">
              <w:rPr>
                <w:i/>
              </w:rPr>
              <w:t>-3,41</w:t>
            </w:r>
          </w:p>
        </w:tc>
      </w:tr>
      <w:tr w:rsidR="00984551" w:rsidRPr="00C43BE8" w:rsidTr="00984551">
        <w:trPr>
          <w:trHeight w:val="360"/>
        </w:trPr>
        <w:tc>
          <w:tcPr>
            <w:tcW w:w="5211" w:type="dxa"/>
            <w:tcBorders>
              <w:top w:val="nil"/>
              <w:bottom w:val="single" w:sz="4" w:space="0" w:color="auto"/>
            </w:tcBorders>
            <w:shd w:val="clear" w:color="auto" w:fill="FFFFCC"/>
          </w:tcPr>
          <w:p w:rsidR="00984551" w:rsidRPr="00984551" w:rsidRDefault="00984551" w:rsidP="00E04D25">
            <w:pPr>
              <w:pStyle w:val="Footer"/>
              <w:tabs>
                <w:tab w:val="clear" w:pos="4153"/>
                <w:tab w:val="clear" w:pos="8306"/>
              </w:tabs>
              <w:ind w:left="340"/>
              <w:rPr>
                <w:i/>
              </w:rPr>
            </w:pPr>
            <w:r w:rsidRPr="00984551">
              <w:rPr>
                <w:i/>
              </w:rPr>
              <w:t>3.2. speciālais budžets</w:t>
            </w:r>
          </w:p>
          <w:p w:rsidR="00984551" w:rsidRPr="00984551" w:rsidRDefault="00984551" w:rsidP="00E04D25">
            <w:pPr>
              <w:pStyle w:val="Footer"/>
              <w:tabs>
                <w:tab w:val="clear" w:pos="4153"/>
                <w:tab w:val="clear" w:pos="8306"/>
              </w:tabs>
              <w:ind w:left="340"/>
              <w:rPr>
                <w:i/>
              </w:rPr>
            </w:pPr>
            <w:r w:rsidRPr="00984551">
              <w:rPr>
                <w:i/>
              </w:rPr>
              <w:t>3.4. pašvaldību budžets</w:t>
            </w:r>
          </w:p>
        </w:tc>
        <w:tc>
          <w:tcPr>
            <w:tcW w:w="2268" w:type="dxa"/>
            <w:tcBorders>
              <w:top w:val="nil"/>
              <w:bottom w:val="single" w:sz="4" w:space="0" w:color="auto"/>
            </w:tcBorders>
            <w:shd w:val="clear" w:color="auto" w:fill="FFFFCC"/>
          </w:tcPr>
          <w:p w:rsidR="00984551" w:rsidRPr="00984551" w:rsidRDefault="00984551" w:rsidP="00E04D25">
            <w:pPr>
              <w:pStyle w:val="BodyText2"/>
              <w:spacing w:after="0" w:line="240" w:lineRule="auto"/>
              <w:jc w:val="center"/>
              <w:rPr>
                <w:i/>
              </w:rPr>
            </w:pPr>
            <w:r w:rsidRPr="00984551">
              <w:rPr>
                <w:i/>
              </w:rPr>
              <w:t>+2,13</w:t>
            </w:r>
          </w:p>
          <w:p w:rsidR="00984551" w:rsidRPr="00984551" w:rsidRDefault="00984551" w:rsidP="00E04D25">
            <w:pPr>
              <w:pStyle w:val="BodyText2"/>
              <w:spacing w:after="0" w:line="240" w:lineRule="auto"/>
              <w:jc w:val="center"/>
              <w:rPr>
                <w:i/>
              </w:rPr>
            </w:pPr>
            <w:r w:rsidRPr="00984551">
              <w:rPr>
                <w:i/>
              </w:rPr>
              <w:t>+0,47</w:t>
            </w:r>
          </w:p>
        </w:tc>
        <w:tc>
          <w:tcPr>
            <w:tcW w:w="2268" w:type="dxa"/>
            <w:tcBorders>
              <w:top w:val="nil"/>
              <w:bottom w:val="single" w:sz="4" w:space="0" w:color="auto"/>
            </w:tcBorders>
            <w:shd w:val="clear" w:color="auto" w:fill="FFFFCC"/>
          </w:tcPr>
          <w:p w:rsidR="00984551" w:rsidRPr="00984551" w:rsidRDefault="00984551" w:rsidP="00E04D25">
            <w:pPr>
              <w:pStyle w:val="BodyText2"/>
              <w:spacing w:after="0" w:line="240" w:lineRule="auto"/>
              <w:jc w:val="center"/>
              <w:rPr>
                <w:i/>
              </w:rPr>
            </w:pPr>
            <w:r w:rsidRPr="00984551">
              <w:rPr>
                <w:i/>
              </w:rPr>
              <w:t>+4,77</w:t>
            </w:r>
          </w:p>
          <w:p w:rsidR="00984551" w:rsidRPr="00984551" w:rsidRDefault="00984551" w:rsidP="00E04D25">
            <w:pPr>
              <w:pStyle w:val="BodyText2"/>
              <w:spacing w:after="0" w:line="240" w:lineRule="auto"/>
              <w:jc w:val="center"/>
              <w:rPr>
                <w:i/>
              </w:rPr>
            </w:pPr>
            <w:r w:rsidRPr="00984551">
              <w:rPr>
                <w:i/>
              </w:rPr>
              <w:t>+1,06</w:t>
            </w:r>
          </w:p>
        </w:tc>
      </w:tr>
      <w:tr w:rsidR="00984551" w:rsidRPr="00C43BE8" w:rsidTr="00984551">
        <w:trPr>
          <w:trHeight w:val="397"/>
        </w:trPr>
        <w:tc>
          <w:tcPr>
            <w:tcW w:w="9747" w:type="dxa"/>
            <w:gridSpan w:val="3"/>
            <w:shd w:val="clear" w:color="auto" w:fill="auto"/>
          </w:tcPr>
          <w:p w:rsidR="00984551" w:rsidRPr="00984551" w:rsidRDefault="00984551" w:rsidP="006409D2">
            <w:pPr>
              <w:pStyle w:val="BodyText2"/>
              <w:spacing w:after="0" w:line="240" w:lineRule="auto"/>
              <w:jc w:val="center"/>
            </w:pPr>
            <w:r w:rsidRPr="00984551">
              <w:rPr>
                <w:b/>
              </w:rPr>
              <w:t>4. Detalizēts ieņēmumu un izdevumu aprēķins</w:t>
            </w:r>
            <w:r w:rsidRPr="00984551">
              <w:t>,</w:t>
            </w:r>
            <w:r w:rsidRPr="00984551">
              <w:rPr>
                <w:i/>
              </w:rPr>
              <w:t xml:space="preserve"> milj. </w:t>
            </w:r>
            <w:proofErr w:type="spellStart"/>
            <w:r w:rsidRPr="00984551">
              <w:rPr>
                <w:i/>
              </w:rPr>
              <w:t>euro</w:t>
            </w:r>
            <w:proofErr w:type="spellEnd"/>
            <w:r w:rsidRPr="00984551">
              <w:rPr>
                <w:b/>
              </w:rPr>
              <w:t>:</w:t>
            </w:r>
          </w:p>
        </w:tc>
      </w:tr>
      <w:tr w:rsidR="00984551" w:rsidRPr="00C43BE8" w:rsidTr="00984551">
        <w:trPr>
          <w:trHeight w:val="564"/>
        </w:trPr>
        <w:tc>
          <w:tcPr>
            <w:tcW w:w="5211" w:type="dxa"/>
            <w:tcBorders>
              <w:top w:val="single" w:sz="4" w:space="0" w:color="auto"/>
              <w:bottom w:val="single" w:sz="4" w:space="0" w:color="auto"/>
            </w:tcBorders>
            <w:shd w:val="clear" w:color="auto" w:fill="auto"/>
          </w:tcPr>
          <w:p w:rsidR="00984551" w:rsidRPr="00984551" w:rsidRDefault="00984551" w:rsidP="00984551">
            <w:pPr>
              <w:pStyle w:val="ListParagraph"/>
              <w:widowControl/>
              <w:numPr>
                <w:ilvl w:val="1"/>
                <w:numId w:val="13"/>
              </w:numPr>
              <w:tabs>
                <w:tab w:val="left" w:pos="459"/>
              </w:tabs>
              <w:spacing w:before="0" w:after="0" w:line="240" w:lineRule="auto"/>
              <w:rPr>
                <w:b/>
                <w:sz w:val="24"/>
                <w:szCs w:val="24"/>
                <w:lang w:val="lv-LV"/>
              </w:rPr>
            </w:pPr>
            <w:r w:rsidRPr="00984551">
              <w:rPr>
                <w:b/>
                <w:sz w:val="24"/>
                <w:szCs w:val="24"/>
                <w:lang w:val="lv-LV"/>
              </w:rPr>
              <w:t>Nodokļu ieņēmumi</w:t>
            </w:r>
          </w:p>
        </w:tc>
        <w:tc>
          <w:tcPr>
            <w:tcW w:w="2268" w:type="dxa"/>
            <w:tcBorders>
              <w:top w:val="single" w:sz="4" w:space="0" w:color="auto"/>
              <w:bottom w:val="single" w:sz="4" w:space="0" w:color="auto"/>
            </w:tcBorders>
            <w:shd w:val="clear" w:color="auto" w:fill="auto"/>
          </w:tcPr>
          <w:p w:rsidR="00984551" w:rsidRPr="00984551" w:rsidRDefault="00984551" w:rsidP="00E04D25">
            <w:pPr>
              <w:pStyle w:val="BodyText2"/>
              <w:spacing w:after="0" w:line="240" w:lineRule="auto"/>
              <w:jc w:val="center"/>
              <w:rPr>
                <w:b/>
              </w:rPr>
            </w:pPr>
            <w:r w:rsidRPr="00984551">
              <w:rPr>
                <w:b/>
              </w:rPr>
              <w:t>3,99</w:t>
            </w:r>
          </w:p>
        </w:tc>
        <w:tc>
          <w:tcPr>
            <w:tcW w:w="2268" w:type="dxa"/>
            <w:tcBorders>
              <w:top w:val="single" w:sz="4" w:space="0" w:color="auto"/>
              <w:bottom w:val="single" w:sz="4" w:space="0" w:color="auto"/>
            </w:tcBorders>
            <w:shd w:val="clear" w:color="auto" w:fill="auto"/>
          </w:tcPr>
          <w:p w:rsidR="00984551" w:rsidRPr="00984551" w:rsidRDefault="00984551" w:rsidP="00E04D25">
            <w:pPr>
              <w:pStyle w:val="BodyText2"/>
              <w:spacing w:after="0" w:line="240" w:lineRule="auto"/>
              <w:jc w:val="center"/>
              <w:rPr>
                <w:b/>
              </w:rPr>
            </w:pPr>
            <w:r w:rsidRPr="00984551">
              <w:rPr>
                <w:b/>
              </w:rPr>
              <w:t>8,93</w:t>
            </w:r>
          </w:p>
        </w:tc>
      </w:tr>
      <w:tr w:rsidR="00984551" w:rsidRPr="00C43BE8" w:rsidTr="00984551">
        <w:trPr>
          <w:trHeight w:val="272"/>
        </w:trPr>
        <w:tc>
          <w:tcPr>
            <w:tcW w:w="5211" w:type="dxa"/>
            <w:tcBorders>
              <w:top w:val="single" w:sz="4" w:space="0" w:color="auto"/>
              <w:left w:val="single" w:sz="4" w:space="0" w:color="auto"/>
              <w:bottom w:val="single" w:sz="4" w:space="0" w:color="auto"/>
            </w:tcBorders>
            <w:shd w:val="clear" w:color="auto" w:fill="auto"/>
          </w:tcPr>
          <w:p w:rsidR="00984551" w:rsidRPr="00984551" w:rsidRDefault="00984551" w:rsidP="00984551">
            <w:pPr>
              <w:pStyle w:val="ListParagraph"/>
              <w:widowControl/>
              <w:numPr>
                <w:ilvl w:val="2"/>
                <w:numId w:val="13"/>
              </w:numPr>
              <w:spacing w:before="0" w:after="0" w:line="240" w:lineRule="auto"/>
              <w:ind w:left="880"/>
              <w:rPr>
                <w:sz w:val="24"/>
                <w:szCs w:val="24"/>
                <w:lang w:val="lv-LV"/>
              </w:rPr>
            </w:pPr>
            <w:r w:rsidRPr="00984551">
              <w:rPr>
                <w:sz w:val="24"/>
                <w:szCs w:val="24"/>
                <w:lang w:val="lv-LV"/>
              </w:rPr>
              <w:t>Valsts sociālās apdrošināšanas obligātās iemaksas</w:t>
            </w:r>
            <w:r w:rsidRPr="00984551">
              <w:rPr>
                <w:sz w:val="24"/>
                <w:szCs w:val="24"/>
                <w:vertAlign w:val="superscript"/>
                <w:lang w:val="lv-LV"/>
              </w:rPr>
              <w:t>*</w:t>
            </w:r>
            <w:r w:rsidRPr="00984551">
              <w:rPr>
                <w:sz w:val="24"/>
                <w:szCs w:val="24"/>
                <w:lang w:val="lv-LV"/>
              </w:rPr>
              <w:t>, tai skaitā:</w:t>
            </w:r>
          </w:p>
          <w:p w:rsidR="00984551" w:rsidRPr="00984551" w:rsidRDefault="00984551" w:rsidP="00E04D25">
            <w:pPr>
              <w:ind w:left="229" w:firstLine="651"/>
              <w:rPr>
                <w:i/>
              </w:rPr>
            </w:pPr>
            <w:r w:rsidRPr="00984551">
              <w:rPr>
                <w:i/>
              </w:rPr>
              <w:t>speciālais budžets</w:t>
            </w:r>
          </w:p>
        </w:tc>
        <w:tc>
          <w:tcPr>
            <w:tcW w:w="2268" w:type="dxa"/>
            <w:tcBorders>
              <w:top w:val="single" w:sz="4" w:space="0" w:color="auto"/>
              <w:bottom w:val="single" w:sz="4" w:space="0" w:color="auto"/>
            </w:tcBorders>
            <w:shd w:val="clear" w:color="auto" w:fill="auto"/>
          </w:tcPr>
          <w:p w:rsidR="00984551" w:rsidRPr="00984551" w:rsidRDefault="00984551" w:rsidP="00E04D25">
            <w:pPr>
              <w:pStyle w:val="BodyText2"/>
              <w:spacing w:after="0" w:line="240" w:lineRule="auto"/>
              <w:jc w:val="center"/>
            </w:pPr>
            <w:r w:rsidRPr="00984551">
              <w:t>2,13</w:t>
            </w:r>
          </w:p>
          <w:p w:rsidR="00984551" w:rsidRPr="00984551" w:rsidRDefault="00984551" w:rsidP="00E04D25">
            <w:pPr>
              <w:pStyle w:val="BodyText2"/>
              <w:spacing w:after="0" w:line="240" w:lineRule="auto"/>
              <w:rPr>
                <w:i/>
              </w:rPr>
            </w:pPr>
          </w:p>
          <w:p w:rsidR="00984551" w:rsidRPr="00984551" w:rsidRDefault="00984551" w:rsidP="00E04D25">
            <w:pPr>
              <w:pStyle w:val="BodyText2"/>
              <w:spacing w:after="0" w:line="240" w:lineRule="auto"/>
              <w:jc w:val="center"/>
              <w:rPr>
                <w:i/>
              </w:rPr>
            </w:pPr>
            <w:r w:rsidRPr="00984551">
              <w:rPr>
                <w:i/>
              </w:rPr>
              <w:t>2,13</w:t>
            </w:r>
          </w:p>
        </w:tc>
        <w:tc>
          <w:tcPr>
            <w:tcW w:w="2268" w:type="dxa"/>
            <w:tcBorders>
              <w:top w:val="single" w:sz="4" w:space="0" w:color="auto"/>
              <w:bottom w:val="single" w:sz="4" w:space="0" w:color="auto"/>
              <w:right w:val="single" w:sz="4" w:space="0" w:color="auto"/>
            </w:tcBorders>
            <w:shd w:val="clear" w:color="auto" w:fill="auto"/>
          </w:tcPr>
          <w:p w:rsidR="00984551" w:rsidRPr="00984551" w:rsidRDefault="00984551" w:rsidP="00E04D25">
            <w:pPr>
              <w:pStyle w:val="BodyText2"/>
              <w:spacing w:after="0" w:line="240" w:lineRule="auto"/>
              <w:jc w:val="center"/>
            </w:pPr>
            <w:r w:rsidRPr="00984551">
              <w:t>4,77</w:t>
            </w:r>
          </w:p>
          <w:p w:rsidR="00984551" w:rsidRPr="00984551" w:rsidRDefault="00984551" w:rsidP="00E04D25">
            <w:pPr>
              <w:pStyle w:val="BodyText2"/>
              <w:spacing w:after="0" w:line="240" w:lineRule="auto"/>
              <w:rPr>
                <w:i/>
              </w:rPr>
            </w:pPr>
          </w:p>
          <w:p w:rsidR="00984551" w:rsidRPr="00984551" w:rsidRDefault="00984551" w:rsidP="00E04D25">
            <w:pPr>
              <w:pStyle w:val="BodyText2"/>
              <w:spacing w:after="0" w:line="240" w:lineRule="auto"/>
              <w:jc w:val="center"/>
              <w:rPr>
                <w:i/>
              </w:rPr>
            </w:pPr>
            <w:r w:rsidRPr="00984551">
              <w:rPr>
                <w:i/>
              </w:rPr>
              <w:t>4,77</w:t>
            </w:r>
          </w:p>
        </w:tc>
      </w:tr>
      <w:tr w:rsidR="00984551" w:rsidRPr="00C43BE8" w:rsidTr="00984551">
        <w:trPr>
          <w:trHeight w:val="518"/>
        </w:trPr>
        <w:tc>
          <w:tcPr>
            <w:tcW w:w="5211" w:type="dxa"/>
            <w:tcBorders>
              <w:top w:val="single" w:sz="4" w:space="0" w:color="auto"/>
              <w:bottom w:val="single" w:sz="4" w:space="0" w:color="auto"/>
            </w:tcBorders>
            <w:shd w:val="clear" w:color="auto" w:fill="auto"/>
          </w:tcPr>
          <w:p w:rsidR="00984551" w:rsidRPr="00984551" w:rsidRDefault="00984551" w:rsidP="00984551">
            <w:pPr>
              <w:pStyle w:val="ListParagraph"/>
              <w:widowControl/>
              <w:numPr>
                <w:ilvl w:val="2"/>
                <w:numId w:val="21"/>
              </w:numPr>
              <w:spacing w:before="0" w:after="0" w:line="240" w:lineRule="auto"/>
              <w:ind w:left="880" w:hanging="709"/>
              <w:rPr>
                <w:sz w:val="24"/>
                <w:szCs w:val="24"/>
                <w:lang w:val="lv-LV"/>
              </w:rPr>
            </w:pPr>
            <w:r w:rsidRPr="00984551">
              <w:rPr>
                <w:sz w:val="24"/>
                <w:szCs w:val="24"/>
                <w:lang w:val="lv-LV"/>
              </w:rPr>
              <w:t>Iedzīvotāju ienākuma nodoklis, tai skaitā:</w:t>
            </w:r>
          </w:p>
          <w:p w:rsidR="00984551" w:rsidRPr="00984551" w:rsidRDefault="00984551" w:rsidP="00E04D25">
            <w:pPr>
              <w:ind w:left="880"/>
              <w:rPr>
                <w:i/>
              </w:rPr>
            </w:pPr>
            <w:r w:rsidRPr="00984551">
              <w:rPr>
                <w:i/>
              </w:rPr>
              <w:t>valsts pamatbudžets</w:t>
            </w:r>
          </w:p>
          <w:p w:rsidR="00984551" w:rsidRPr="00984551" w:rsidRDefault="00984551" w:rsidP="00E04D25">
            <w:pPr>
              <w:ind w:left="880"/>
            </w:pPr>
            <w:r w:rsidRPr="00984551">
              <w:rPr>
                <w:i/>
              </w:rPr>
              <w:t>pašvaldību budžets</w:t>
            </w:r>
          </w:p>
        </w:tc>
        <w:tc>
          <w:tcPr>
            <w:tcW w:w="2268" w:type="dxa"/>
            <w:tcBorders>
              <w:top w:val="single" w:sz="4" w:space="0" w:color="auto"/>
              <w:bottom w:val="single" w:sz="4" w:space="0" w:color="auto"/>
            </w:tcBorders>
            <w:shd w:val="clear" w:color="auto" w:fill="auto"/>
          </w:tcPr>
          <w:p w:rsidR="00984551" w:rsidRPr="00984551" w:rsidRDefault="00984551" w:rsidP="00E04D25">
            <w:pPr>
              <w:pStyle w:val="BodyText2"/>
              <w:spacing w:after="0" w:line="240" w:lineRule="auto"/>
              <w:jc w:val="center"/>
            </w:pPr>
            <w:r w:rsidRPr="00984551">
              <w:t>1,46</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r w:rsidRPr="00984551">
              <w:rPr>
                <w:i/>
              </w:rPr>
              <w:t>0,29</w:t>
            </w:r>
          </w:p>
          <w:p w:rsidR="00984551" w:rsidRPr="00984551" w:rsidRDefault="00984551" w:rsidP="00E04D25">
            <w:pPr>
              <w:pStyle w:val="BodyText2"/>
              <w:spacing w:after="0" w:line="240" w:lineRule="auto"/>
              <w:jc w:val="center"/>
              <w:rPr>
                <w:i/>
              </w:rPr>
            </w:pPr>
            <w:r w:rsidRPr="00984551">
              <w:rPr>
                <w:i/>
              </w:rPr>
              <w:t>1,17</w:t>
            </w:r>
          </w:p>
        </w:tc>
        <w:tc>
          <w:tcPr>
            <w:tcW w:w="2268" w:type="dxa"/>
            <w:tcBorders>
              <w:top w:val="single" w:sz="4" w:space="0" w:color="auto"/>
              <w:bottom w:val="single" w:sz="4" w:space="0" w:color="auto"/>
            </w:tcBorders>
            <w:shd w:val="clear" w:color="auto" w:fill="auto"/>
          </w:tcPr>
          <w:p w:rsidR="00984551" w:rsidRPr="00984551" w:rsidRDefault="00984551" w:rsidP="00E04D25">
            <w:pPr>
              <w:pStyle w:val="BodyText2"/>
              <w:spacing w:after="0" w:line="240" w:lineRule="auto"/>
              <w:jc w:val="center"/>
            </w:pPr>
            <w:r w:rsidRPr="00984551">
              <w:t>3,27</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r w:rsidRPr="00984551">
              <w:rPr>
                <w:i/>
              </w:rPr>
              <w:t>0,65</w:t>
            </w:r>
          </w:p>
          <w:p w:rsidR="00984551" w:rsidRPr="00984551" w:rsidRDefault="00984551" w:rsidP="00E04D25">
            <w:pPr>
              <w:pStyle w:val="BodyText2"/>
              <w:spacing w:after="0" w:line="240" w:lineRule="auto"/>
              <w:jc w:val="center"/>
              <w:rPr>
                <w:i/>
              </w:rPr>
            </w:pPr>
            <w:r w:rsidRPr="00984551">
              <w:rPr>
                <w:i/>
              </w:rPr>
              <w:t>2,62</w:t>
            </w:r>
          </w:p>
        </w:tc>
      </w:tr>
      <w:tr w:rsidR="00984551" w:rsidRPr="00C43BE8" w:rsidTr="00984551">
        <w:trPr>
          <w:trHeight w:val="518"/>
        </w:trPr>
        <w:tc>
          <w:tcPr>
            <w:tcW w:w="5211" w:type="dxa"/>
            <w:tcBorders>
              <w:top w:val="single" w:sz="4" w:space="0" w:color="auto"/>
              <w:bottom w:val="single" w:sz="4" w:space="0" w:color="auto"/>
            </w:tcBorders>
            <w:shd w:val="clear" w:color="auto" w:fill="auto"/>
          </w:tcPr>
          <w:p w:rsidR="00984551" w:rsidRPr="00984551" w:rsidRDefault="00984551" w:rsidP="00984551">
            <w:pPr>
              <w:pStyle w:val="ListParagraph"/>
              <w:widowControl/>
              <w:numPr>
                <w:ilvl w:val="2"/>
                <w:numId w:val="21"/>
              </w:numPr>
              <w:spacing w:before="0" w:after="0" w:line="240" w:lineRule="auto"/>
              <w:ind w:left="880"/>
              <w:rPr>
                <w:sz w:val="24"/>
                <w:szCs w:val="24"/>
                <w:lang w:val="lv-LV"/>
              </w:rPr>
            </w:pPr>
            <w:r w:rsidRPr="00984551">
              <w:rPr>
                <w:sz w:val="24"/>
                <w:szCs w:val="24"/>
                <w:lang w:val="lv-LV"/>
              </w:rPr>
              <w:t>Pievienotās vērtības nodoklis</w:t>
            </w:r>
            <w:r w:rsidRPr="00984551">
              <w:rPr>
                <w:sz w:val="24"/>
                <w:szCs w:val="24"/>
                <w:vertAlign w:val="superscript"/>
                <w:lang w:val="lv-LV"/>
              </w:rPr>
              <w:t>**</w:t>
            </w:r>
            <w:r w:rsidRPr="00984551">
              <w:rPr>
                <w:sz w:val="24"/>
                <w:szCs w:val="24"/>
                <w:lang w:val="lv-LV"/>
              </w:rPr>
              <w:t>, tai skaitā:</w:t>
            </w:r>
          </w:p>
          <w:p w:rsidR="00984551" w:rsidRPr="00984551" w:rsidRDefault="00984551" w:rsidP="00E04D25">
            <w:pPr>
              <w:ind w:left="880"/>
              <w:rPr>
                <w:i/>
              </w:rPr>
            </w:pPr>
            <w:r w:rsidRPr="00984551">
              <w:rPr>
                <w:i/>
              </w:rPr>
              <w:t>valsts pamatbudžets</w:t>
            </w:r>
          </w:p>
        </w:tc>
        <w:tc>
          <w:tcPr>
            <w:tcW w:w="2268" w:type="dxa"/>
            <w:tcBorders>
              <w:top w:val="single" w:sz="4" w:space="0" w:color="auto"/>
              <w:bottom w:val="single" w:sz="4" w:space="0" w:color="auto"/>
            </w:tcBorders>
            <w:shd w:val="clear" w:color="auto" w:fill="auto"/>
          </w:tcPr>
          <w:p w:rsidR="00984551" w:rsidRPr="00984551" w:rsidRDefault="00984551" w:rsidP="00E04D25">
            <w:pPr>
              <w:pStyle w:val="BodyText2"/>
              <w:spacing w:after="0" w:line="240" w:lineRule="auto"/>
              <w:jc w:val="center"/>
            </w:pPr>
            <w:r w:rsidRPr="00984551">
              <w:t>0,40</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r w:rsidRPr="00984551">
              <w:rPr>
                <w:i/>
              </w:rPr>
              <w:t>0,40</w:t>
            </w:r>
          </w:p>
        </w:tc>
        <w:tc>
          <w:tcPr>
            <w:tcW w:w="2268" w:type="dxa"/>
            <w:tcBorders>
              <w:top w:val="single" w:sz="4" w:space="0" w:color="auto"/>
              <w:bottom w:val="single" w:sz="4" w:space="0" w:color="auto"/>
            </w:tcBorders>
            <w:shd w:val="clear" w:color="auto" w:fill="auto"/>
          </w:tcPr>
          <w:p w:rsidR="00984551" w:rsidRPr="00984551" w:rsidRDefault="00984551" w:rsidP="00E04D25">
            <w:pPr>
              <w:pStyle w:val="BodyText2"/>
              <w:spacing w:after="0" w:line="240" w:lineRule="auto"/>
              <w:jc w:val="center"/>
            </w:pPr>
            <w:r w:rsidRPr="00984551">
              <w:t>0,88</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r w:rsidRPr="00984551">
              <w:rPr>
                <w:i/>
              </w:rPr>
              <w:t>0,88</w:t>
            </w:r>
          </w:p>
        </w:tc>
      </w:tr>
      <w:tr w:rsidR="00984551" w:rsidRPr="00C43BE8" w:rsidTr="00984551">
        <w:trPr>
          <w:trHeight w:val="518"/>
        </w:trPr>
        <w:tc>
          <w:tcPr>
            <w:tcW w:w="5211" w:type="dxa"/>
            <w:tcBorders>
              <w:top w:val="single" w:sz="4" w:space="0" w:color="auto"/>
              <w:bottom w:val="nil"/>
            </w:tcBorders>
            <w:shd w:val="clear" w:color="auto" w:fill="auto"/>
          </w:tcPr>
          <w:p w:rsidR="00984551" w:rsidRPr="00984551" w:rsidRDefault="00984551" w:rsidP="00984551">
            <w:pPr>
              <w:pStyle w:val="ListParagraph"/>
              <w:widowControl/>
              <w:numPr>
                <w:ilvl w:val="1"/>
                <w:numId w:val="21"/>
              </w:numPr>
              <w:spacing w:before="0" w:after="0" w:line="240" w:lineRule="auto"/>
              <w:rPr>
                <w:b/>
                <w:sz w:val="24"/>
                <w:szCs w:val="24"/>
                <w:lang w:val="lv-LV"/>
              </w:rPr>
            </w:pPr>
            <w:r w:rsidRPr="00984551">
              <w:rPr>
                <w:b/>
                <w:sz w:val="24"/>
                <w:szCs w:val="24"/>
                <w:lang w:val="lv-LV"/>
              </w:rPr>
              <w:t>Budžeta izdevumi</w:t>
            </w:r>
          </w:p>
        </w:tc>
        <w:tc>
          <w:tcPr>
            <w:tcW w:w="2268" w:type="dxa"/>
            <w:tcBorders>
              <w:top w:val="single" w:sz="4" w:space="0" w:color="auto"/>
              <w:bottom w:val="nil"/>
            </w:tcBorders>
            <w:shd w:val="clear" w:color="auto" w:fill="auto"/>
          </w:tcPr>
          <w:p w:rsidR="00984551" w:rsidRPr="00984551" w:rsidRDefault="00984551" w:rsidP="00E04D25">
            <w:pPr>
              <w:jc w:val="center"/>
              <w:rPr>
                <w:b/>
              </w:rPr>
            </w:pPr>
            <w:r w:rsidRPr="00984551">
              <w:rPr>
                <w:b/>
              </w:rPr>
              <w:t>-2,84</w:t>
            </w:r>
          </w:p>
        </w:tc>
        <w:tc>
          <w:tcPr>
            <w:tcW w:w="2268" w:type="dxa"/>
            <w:tcBorders>
              <w:top w:val="single" w:sz="4" w:space="0" w:color="auto"/>
              <w:bottom w:val="nil"/>
            </w:tcBorders>
            <w:shd w:val="clear" w:color="auto" w:fill="auto"/>
          </w:tcPr>
          <w:p w:rsidR="00984551" w:rsidRPr="00984551" w:rsidRDefault="00984551" w:rsidP="00E04D25">
            <w:pPr>
              <w:jc w:val="center"/>
              <w:rPr>
                <w:b/>
              </w:rPr>
            </w:pPr>
            <w:r w:rsidRPr="00984551">
              <w:rPr>
                <w:b/>
              </w:rPr>
              <w:t>-6,51</w:t>
            </w:r>
          </w:p>
        </w:tc>
      </w:tr>
      <w:tr w:rsidR="00984551" w:rsidRPr="00C43BE8" w:rsidTr="00984551">
        <w:trPr>
          <w:trHeight w:val="370"/>
        </w:trPr>
        <w:tc>
          <w:tcPr>
            <w:tcW w:w="5211" w:type="dxa"/>
            <w:tcBorders>
              <w:bottom w:val="nil"/>
            </w:tcBorders>
            <w:shd w:val="clear" w:color="auto" w:fill="auto"/>
          </w:tcPr>
          <w:p w:rsidR="00984551" w:rsidRPr="00984551" w:rsidRDefault="00984551" w:rsidP="00984551">
            <w:pPr>
              <w:pStyle w:val="ListParagraph"/>
              <w:widowControl/>
              <w:numPr>
                <w:ilvl w:val="2"/>
                <w:numId w:val="21"/>
              </w:numPr>
              <w:spacing w:before="0" w:after="0" w:line="240" w:lineRule="auto"/>
              <w:ind w:left="880"/>
              <w:rPr>
                <w:i/>
                <w:sz w:val="24"/>
                <w:szCs w:val="24"/>
                <w:lang w:val="lv-LV"/>
              </w:rPr>
            </w:pPr>
            <w:r w:rsidRPr="00984551">
              <w:rPr>
                <w:sz w:val="24"/>
                <w:szCs w:val="24"/>
                <w:lang w:val="lv-LV"/>
              </w:rPr>
              <w:t xml:space="preserve">Plānotais atalgojuma fonda pieaugums </w:t>
            </w:r>
            <w:r w:rsidRPr="00984551">
              <w:rPr>
                <w:sz w:val="24"/>
                <w:szCs w:val="24"/>
                <w:lang w:val="lv-LV"/>
              </w:rPr>
              <w:lastRenderedPageBreak/>
              <w:t>valsts un pašvaldību sektorā</w:t>
            </w:r>
            <w:r w:rsidRPr="00984551">
              <w:rPr>
                <w:sz w:val="24"/>
                <w:szCs w:val="24"/>
                <w:vertAlign w:val="superscript"/>
                <w:lang w:val="lv-LV"/>
              </w:rPr>
              <w:t>***</w:t>
            </w:r>
            <w:r w:rsidRPr="00984551">
              <w:rPr>
                <w:sz w:val="24"/>
                <w:szCs w:val="24"/>
                <w:lang w:val="lv-LV"/>
              </w:rPr>
              <w:t>, tai skaitā:</w:t>
            </w:r>
          </w:p>
          <w:p w:rsidR="00984551" w:rsidRPr="00984551" w:rsidRDefault="00984551" w:rsidP="00E04D25">
            <w:pPr>
              <w:pStyle w:val="ListParagraph"/>
              <w:tabs>
                <w:tab w:val="left" w:pos="459"/>
              </w:tabs>
              <w:ind w:left="880"/>
              <w:rPr>
                <w:i/>
                <w:sz w:val="24"/>
                <w:szCs w:val="24"/>
                <w:lang w:val="lv-LV"/>
              </w:rPr>
            </w:pPr>
            <w:r w:rsidRPr="00984551">
              <w:rPr>
                <w:i/>
                <w:sz w:val="24"/>
                <w:szCs w:val="24"/>
                <w:lang w:val="lv-LV"/>
              </w:rPr>
              <w:t>valsts pamatbudžets</w:t>
            </w:r>
          </w:p>
          <w:p w:rsidR="00984551" w:rsidRPr="00984551" w:rsidRDefault="00984551" w:rsidP="00E04D25">
            <w:pPr>
              <w:pStyle w:val="ListParagraph"/>
              <w:tabs>
                <w:tab w:val="left" w:pos="459"/>
              </w:tabs>
              <w:ind w:left="880"/>
              <w:rPr>
                <w:i/>
                <w:sz w:val="24"/>
                <w:szCs w:val="24"/>
                <w:lang w:val="lv-LV"/>
              </w:rPr>
            </w:pPr>
            <w:r w:rsidRPr="00984551">
              <w:rPr>
                <w:i/>
                <w:sz w:val="24"/>
                <w:szCs w:val="24"/>
                <w:lang w:val="lv-LV"/>
              </w:rPr>
              <w:t>pašvaldību budžets</w:t>
            </w:r>
          </w:p>
        </w:tc>
        <w:tc>
          <w:tcPr>
            <w:tcW w:w="2268" w:type="dxa"/>
            <w:tcBorders>
              <w:bottom w:val="nil"/>
            </w:tcBorders>
            <w:shd w:val="clear" w:color="auto" w:fill="auto"/>
          </w:tcPr>
          <w:p w:rsidR="00984551" w:rsidRPr="00984551" w:rsidRDefault="00984551" w:rsidP="00E04D25">
            <w:pPr>
              <w:pStyle w:val="BodyText2"/>
              <w:spacing w:after="0" w:line="240" w:lineRule="auto"/>
              <w:jc w:val="center"/>
            </w:pPr>
            <w:r w:rsidRPr="00984551">
              <w:lastRenderedPageBreak/>
              <w:t>-0,84</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r w:rsidRPr="00984551">
              <w:rPr>
                <w:i/>
              </w:rPr>
              <w:t>-0,14</w:t>
            </w:r>
          </w:p>
          <w:p w:rsidR="00984551" w:rsidRPr="00984551" w:rsidRDefault="00984551" w:rsidP="00E04D25">
            <w:pPr>
              <w:pStyle w:val="BodyText2"/>
              <w:spacing w:after="0" w:line="240" w:lineRule="auto"/>
              <w:jc w:val="center"/>
            </w:pPr>
            <w:r w:rsidRPr="00984551">
              <w:rPr>
                <w:i/>
              </w:rPr>
              <w:t>-0,70</w:t>
            </w:r>
          </w:p>
        </w:tc>
        <w:tc>
          <w:tcPr>
            <w:tcW w:w="2268" w:type="dxa"/>
            <w:tcBorders>
              <w:bottom w:val="nil"/>
            </w:tcBorders>
            <w:shd w:val="clear" w:color="auto" w:fill="auto"/>
          </w:tcPr>
          <w:p w:rsidR="00984551" w:rsidRPr="00984551" w:rsidRDefault="00984551" w:rsidP="00E04D25">
            <w:pPr>
              <w:pStyle w:val="BodyText2"/>
              <w:spacing w:after="0" w:line="240" w:lineRule="auto"/>
              <w:jc w:val="center"/>
            </w:pPr>
            <w:r w:rsidRPr="00984551">
              <w:lastRenderedPageBreak/>
              <w:t>-2,02</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r w:rsidRPr="00984551">
              <w:rPr>
                <w:i/>
              </w:rPr>
              <w:t>-0,46</w:t>
            </w:r>
          </w:p>
          <w:p w:rsidR="00984551" w:rsidRPr="00984551" w:rsidRDefault="00984551" w:rsidP="00E04D25">
            <w:pPr>
              <w:pStyle w:val="BodyText2"/>
              <w:spacing w:after="0" w:line="240" w:lineRule="auto"/>
              <w:jc w:val="center"/>
            </w:pPr>
            <w:r w:rsidRPr="00984551">
              <w:rPr>
                <w:i/>
              </w:rPr>
              <w:t>-1,56</w:t>
            </w:r>
          </w:p>
        </w:tc>
      </w:tr>
      <w:tr w:rsidR="00984551" w:rsidRPr="00C43BE8" w:rsidTr="00984551">
        <w:trPr>
          <w:trHeight w:val="360"/>
        </w:trPr>
        <w:tc>
          <w:tcPr>
            <w:tcW w:w="5211" w:type="dxa"/>
            <w:tcBorders>
              <w:bottom w:val="single" w:sz="4" w:space="0" w:color="auto"/>
            </w:tcBorders>
            <w:shd w:val="clear" w:color="auto" w:fill="auto"/>
          </w:tcPr>
          <w:p w:rsidR="00984551" w:rsidRPr="00984551" w:rsidRDefault="00984551" w:rsidP="00984551">
            <w:pPr>
              <w:pStyle w:val="ListParagraph"/>
              <w:widowControl/>
              <w:numPr>
                <w:ilvl w:val="2"/>
                <w:numId w:val="21"/>
              </w:numPr>
              <w:spacing w:before="0" w:after="0" w:line="240" w:lineRule="auto"/>
              <w:ind w:left="880"/>
              <w:rPr>
                <w:sz w:val="24"/>
                <w:szCs w:val="24"/>
                <w:lang w:val="lv-LV"/>
              </w:rPr>
            </w:pPr>
            <w:r w:rsidRPr="00984551">
              <w:rPr>
                <w:sz w:val="24"/>
                <w:szCs w:val="24"/>
                <w:lang w:val="lv-LV"/>
              </w:rPr>
              <w:lastRenderedPageBreak/>
              <w:t>Valsts mērķdotācijas, tai skaitā:</w:t>
            </w:r>
          </w:p>
          <w:p w:rsidR="00984551" w:rsidRPr="00984551" w:rsidRDefault="00984551" w:rsidP="00984551">
            <w:pPr>
              <w:pStyle w:val="ListParagraph"/>
              <w:widowControl/>
              <w:numPr>
                <w:ilvl w:val="0"/>
                <w:numId w:val="20"/>
              </w:numPr>
              <w:spacing w:before="0" w:after="0" w:line="240" w:lineRule="auto"/>
              <w:ind w:left="880"/>
              <w:rPr>
                <w:i/>
                <w:sz w:val="24"/>
                <w:szCs w:val="24"/>
                <w:lang w:val="lv-LV"/>
              </w:rPr>
            </w:pPr>
            <w:r w:rsidRPr="00984551">
              <w:rPr>
                <w:i/>
                <w:sz w:val="24"/>
                <w:szCs w:val="24"/>
                <w:lang w:val="lv-LV"/>
              </w:rPr>
              <w:t>33.01.00 apakšprogrammai "Ārstniecība";</w:t>
            </w:r>
          </w:p>
          <w:p w:rsidR="00984551" w:rsidRPr="00984551" w:rsidRDefault="00984551" w:rsidP="00984551">
            <w:pPr>
              <w:pStyle w:val="ListParagraph"/>
              <w:widowControl/>
              <w:numPr>
                <w:ilvl w:val="0"/>
                <w:numId w:val="20"/>
              </w:numPr>
              <w:spacing w:before="0" w:after="0" w:line="240" w:lineRule="auto"/>
              <w:ind w:left="880"/>
              <w:rPr>
                <w:i/>
                <w:sz w:val="24"/>
                <w:szCs w:val="24"/>
                <w:lang w:val="lv-LV"/>
              </w:rPr>
            </w:pPr>
            <w:r w:rsidRPr="00984551">
              <w:rPr>
                <w:i/>
                <w:sz w:val="24"/>
                <w:szCs w:val="24"/>
                <w:lang w:val="lv-LV"/>
              </w:rPr>
              <w:t>05.01.00 Sociālās rehabilitācijas valsts programmas asistentu pakalpojumiem;</w:t>
            </w:r>
          </w:p>
          <w:p w:rsidR="00984551" w:rsidRPr="00984551" w:rsidRDefault="00984551" w:rsidP="00984551">
            <w:pPr>
              <w:pStyle w:val="ListParagraph"/>
              <w:widowControl/>
              <w:numPr>
                <w:ilvl w:val="0"/>
                <w:numId w:val="20"/>
              </w:numPr>
              <w:spacing w:before="0" w:after="0" w:line="240" w:lineRule="auto"/>
              <w:ind w:left="880"/>
              <w:rPr>
                <w:i/>
                <w:sz w:val="24"/>
                <w:szCs w:val="24"/>
                <w:lang w:val="lv-LV"/>
              </w:rPr>
            </w:pPr>
            <w:r w:rsidRPr="00984551">
              <w:rPr>
                <w:i/>
                <w:sz w:val="24"/>
                <w:szCs w:val="24"/>
                <w:lang w:val="lv-LV"/>
              </w:rPr>
              <w:t>Mērķdotācijām republikas pilsētu un novadu pašvaldībām;</w:t>
            </w:r>
          </w:p>
          <w:p w:rsidR="00984551" w:rsidRPr="00984551" w:rsidRDefault="00984551" w:rsidP="00984551">
            <w:pPr>
              <w:pStyle w:val="ListParagraph"/>
              <w:widowControl/>
              <w:numPr>
                <w:ilvl w:val="0"/>
                <w:numId w:val="20"/>
              </w:numPr>
              <w:spacing w:before="0" w:after="0" w:line="240" w:lineRule="auto"/>
              <w:ind w:left="880"/>
              <w:rPr>
                <w:i/>
                <w:sz w:val="24"/>
                <w:szCs w:val="24"/>
                <w:lang w:val="lv-LV"/>
              </w:rPr>
            </w:pPr>
            <w:r w:rsidRPr="00984551">
              <w:rPr>
                <w:i/>
                <w:sz w:val="24"/>
                <w:szCs w:val="24"/>
                <w:lang w:val="lv-LV"/>
              </w:rPr>
              <w:t>Mērķdotācijai pašvaldību tautas kolektīvu vadītājiem;</w:t>
            </w:r>
          </w:p>
          <w:p w:rsidR="00984551" w:rsidRPr="00984551" w:rsidRDefault="00984551" w:rsidP="00984551">
            <w:pPr>
              <w:pStyle w:val="ListParagraph"/>
              <w:widowControl/>
              <w:numPr>
                <w:ilvl w:val="0"/>
                <w:numId w:val="20"/>
              </w:numPr>
              <w:spacing w:before="0" w:after="0" w:line="240" w:lineRule="auto"/>
              <w:ind w:left="880"/>
              <w:rPr>
                <w:i/>
                <w:sz w:val="24"/>
                <w:szCs w:val="24"/>
                <w:lang w:val="lv-LV"/>
              </w:rPr>
            </w:pPr>
            <w:r w:rsidRPr="00984551">
              <w:rPr>
                <w:i/>
                <w:sz w:val="24"/>
                <w:szCs w:val="24"/>
                <w:lang w:val="lv-LV"/>
              </w:rPr>
              <w:t>Uzturlīdzekļu garantijas fondam papildus finansējums uzturlīdzekļu izmaksām.</w:t>
            </w:r>
          </w:p>
        </w:tc>
        <w:tc>
          <w:tcPr>
            <w:tcW w:w="2268" w:type="dxa"/>
            <w:tcBorders>
              <w:bottom w:val="single" w:sz="4" w:space="0" w:color="auto"/>
            </w:tcBorders>
            <w:shd w:val="clear" w:color="auto" w:fill="auto"/>
          </w:tcPr>
          <w:p w:rsidR="00984551" w:rsidRPr="00984551" w:rsidRDefault="00984551" w:rsidP="00E04D25">
            <w:pPr>
              <w:pStyle w:val="BodyText2"/>
              <w:spacing w:after="0" w:line="240" w:lineRule="auto"/>
              <w:jc w:val="center"/>
            </w:pPr>
            <w:r w:rsidRPr="00984551">
              <w:t>-2,00</w:t>
            </w:r>
          </w:p>
          <w:p w:rsidR="00984551" w:rsidRPr="00984551" w:rsidRDefault="00984551" w:rsidP="00E04D25">
            <w:pPr>
              <w:pStyle w:val="BodyText2"/>
              <w:spacing w:after="0" w:line="240" w:lineRule="auto"/>
              <w:jc w:val="center"/>
              <w:rPr>
                <w:i/>
              </w:rPr>
            </w:pPr>
            <w:r w:rsidRPr="00984551">
              <w:rPr>
                <w:i/>
              </w:rPr>
              <w:t>-0,82</w:t>
            </w:r>
          </w:p>
          <w:p w:rsidR="00984551" w:rsidRPr="00984551" w:rsidRDefault="00984551" w:rsidP="00E04D25">
            <w:pPr>
              <w:pStyle w:val="BodyText2"/>
              <w:spacing w:after="0" w:line="240" w:lineRule="auto"/>
              <w:jc w:val="center"/>
              <w:rPr>
                <w:i/>
              </w:rPr>
            </w:pPr>
            <w:r w:rsidRPr="00984551">
              <w:rPr>
                <w:i/>
              </w:rPr>
              <w:t>-0,07</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r w:rsidRPr="00984551">
              <w:rPr>
                <w:i/>
              </w:rPr>
              <w:t>-0,19</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r w:rsidRPr="00984551">
              <w:rPr>
                <w:i/>
              </w:rPr>
              <w:t>-0,27</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pPr>
            <w:r w:rsidRPr="00984551">
              <w:rPr>
                <w:i/>
              </w:rPr>
              <w:t>-0,65</w:t>
            </w:r>
          </w:p>
        </w:tc>
        <w:tc>
          <w:tcPr>
            <w:tcW w:w="2268" w:type="dxa"/>
            <w:tcBorders>
              <w:bottom w:val="single" w:sz="4" w:space="0" w:color="auto"/>
            </w:tcBorders>
            <w:shd w:val="clear" w:color="auto" w:fill="auto"/>
          </w:tcPr>
          <w:p w:rsidR="00984551" w:rsidRPr="00984551" w:rsidRDefault="00984551" w:rsidP="00E04D25">
            <w:pPr>
              <w:pStyle w:val="BodyText2"/>
              <w:spacing w:after="0" w:line="240" w:lineRule="auto"/>
              <w:jc w:val="center"/>
            </w:pPr>
            <w:r w:rsidRPr="00984551">
              <w:t>-4,49</w:t>
            </w:r>
          </w:p>
          <w:p w:rsidR="00984551" w:rsidRPr="00984551" w:rsidRDefault="00984551" w:rsidP="00E04D25">
            <w:pPr>
              <w:pStyle w:val="BodyText2"/>
              <w:spacing w:after="0" w:line="240" w:lineRule="auto"/>
              <w:jc w:val="center"/>
              <w:rPr>
                <w:i/>
              </w:rPr>
            </w:pPr>
            <w:r w:rsidRPr="00984551">
              <w:rPr>
                <w:i/>
              </w:rPr>
              <w:t>-2,09</w:t>
            </w:r>
          </w:p>
          <w:p w:rsidR="00984551" w:rsidRPr="00984551" w:rsidRDefault="00984551" w:rsidP="00E04D25">
            <w:pPr>
              <w:pStyle w:val="BodyText2"/>
              <w:spacing w:after="0" w:line="240" w:lineRule="auto"/>
              <w:jc w:val="center"/>
              <w:rPr>
                <w:i/>
              </w:rPr>
            </w:pPr>
            <w:r w:rsidRPr="00984551">
              <w:rPr>
                <w:i/>
              </w:rPr>
              <w:t>-0,30</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r w:rsidRPr="00984551">
              <w:rPr>
                <w:i/>
              </w:rPr>
              <w:t>-0,42</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rPr>
                <w:i/>
              </w:rPr>
            </w:pPr>
            <w:r w:rsidRPr="00984551">
              <w:rPr>
                <w:i/>
              </w:rPr>
              <w:t>-0,29</w:t>
            </w:r>
          </w:p>
          <w:p w:rsidR="00984551" w:rsidRPr="00984551" w:rsidRDefault="00984551" w:rsidP="00E04D25">
            <w:pPr>
              <w:pStyle w:val="BodyText2"/>
              <w:spacing w:after="0" w:line="240" w:lineRule="auto"/>
              <w:jc w:val="center"/>
              <w:rPr>
                <w:i/>
              </w:rPr>
            </w:pPr>
          </w:p>
          <w:p w:rsidR="00984551" w:rsidRPr="00984551" w:rsidRDefault="00984551" w:rsidP="00E04D25">
            <w:pPr>
              <w:pStyle w:val="BodyText2"/>
              <w:spacing w:after="0" w:line="240" w:lineRule="auto"/>
              <w:jc w:val="center"/>
            </w:pPr>
            <w:r w:rsidRPr="00984551">
              <w:rPr>
                <w:i/>
              </w:rPr>
              <w:t>-1,40</w:t>
            </w:r>
          </w:p>
        </w:tc>
      </w:tr>
    </w:tbl>
    <w:p w:rsidR="00984551" w:rsidRPr="000C4BFD" w:rsidRDefault="00984551" w:rsidP="00984551">
      <w:pPr>
        <w:ind w:left="426" w:hanging="426"/>
        <w:rPr>
          <w:i/>
          <w:sz w:val="20"/>
        </w:rPr>
      </w:pPr>
      <w:r w:rsidRPr="000C4BFD">
        <w:rPr>
          <w:vertAlign w:val="superscript"/>
        </w:rPr>
        <w:t>*</w:t>
      </w:r>
      <w:r>
        <w:t xml:space="preserve"> - </w:t>
      </w:r>
      <w:r w:rsidRPr="000C4BFD">
        <w:rPr>
          <w:i/>
          <w:sz w:val="20"/>
        </w:rPr>
        <w:t xml:space="preserve">Neieskaitot iemaksas valsts fondēto pensiju shēmā (I variantā ir 0,40 milj. </w:t>
      </w:r>
      <w:proofErr w:type="spellStart"/>
      <w:r w:rsidRPr="000C4BFD">
        <w:rPr>
          <w:i/>
          <w:sz w:val="20"/>
        </w:rPr>
        <w:t>euro</w:t>
      </w:r>
      <w:proofErr w:type="spellEnd"/>
      <w:r w:rsidRPr="000C4BFD">
        <w:rPr>
          <w:i/>
          <w:sz w:val="20"/>
        </w:rPr>
        <w:t xml:space="preserve"> un II variantā ir 0,90</w:t>
      </w:r>
      <w:r>
        <w:rPr>
          <w:i/>
          <w:sz w:val="20"/>
        </w:rPr>
        <w:t> </w:t>
      </w:r>
      <w:r w:rsidRPr="000C4BFD">
        <w:rPr>
          <w:i/>
          <w:sz w:val="20"/>
        </w:rPr>
        <w:t>milj.</w:t>
      </w:r>
      <w:r>
        <w:rPr>
          <w:i/>
          <w:sz w:val="20"/>
        </w:rPr>
        <w:t> </w:t>
      </w:r>
      <w:proofErr w:type="spellStart"/>
      <w:r w:rsidRPr="000C4BFD">
        <w:rPr>
          <w:i/>
          <w:sz w:val="20"/>
        </w:rPr>
        <w:t>euro</w:t>
      </w:r>
      <w:proofErr w:type="spellEnd"/>
      <w:r w:rsidRPr="000C4BFD">
        <w:rPr>
          <w:i/>
          <w:sz w:val="20"/>
        </w:rPr>
        <w:t>).</w:t>
      </w:r>
    </w:p>
    <w:p w:rsidR="00984551" w:rsidRPr="000C4BFD" w:rsidRDefault="00984551" w:rsidP="00984551">
      <w:r w:rsidRPr="000C4BFD">
        <w:rPr>
          <w:vertAlign w:val="superscript"/>
        </w:rPr>
        <w:t>**</w:t>
      </w:r>
      <w:r>
        <w:t xml:space="preserve"> - </w:t>
      </w:r>
      <w:r w:rsidRPr="000C4BFD">
        <w:rPr>
          <w:i/>
          <w:sz w:val="20"/>
        </w:rPr>
        <w:t>Pieņēmums, ka PVN  tiks tērēti  40% no iegūtās summas x 17% (aptuvenā likme no cenu patēriņa groza)</w:t>
      </w:r>
      <w:r>
        <w:rPr>
          <w:i/>
          <w:sz w:val="20"/>
        </w:rPr>
        <w:t>.</w:t>
      </w:r>
    </w:p>
    <w:p w:rsidR="00984551" w:rsidRPr="000C4BFD" w:rsidRDefault="00984551" w:rsidP="00984551">
      <w:pPr>
        <w:ind w:left="426" w:hanging="426"/>
        <w:rPr>
          <w:i/>
          <w:sz w:val="20"/>
        </w:rPr>
      </w:pPr>
      <w:r w:rsidRPr="000C4BFD">
        <w:rPr>
          <w:vertAlign w:val="superscript"/>
        </w:rPr>
        <w:t>***</w:t>
      </w:r>
      <w:r>
        <w:t xml:space="preserve"> - </w:t>
      </w:r>
      <w:r w:rsidRPr="000C4BFD">
        <w:rPr>
          <w:i/>
          <w:sz w:val="20"/>
        </w:rPr>
        <w:t>No CSB datiem par nodarbinātā skaita sadalījumu par algu grupām un FM pieņēmumiem par darba algas pieaugumu katrā no šīm grupām</w:t>
      </w:r>
      <w:r>
        <w:rPr>
          <w:i/>
          <w:sz w:val="20"/>
        </w:rPr>
        <w:t>.</w:t>
      </w:r>
    </w:p>
    <w:p w:rsidR="005E231F" w:rsidRPr="00C43BE8" w:rsidRDefault="005E231F" w:rsidP="001A23B3">
      <w:pPr>
        <w:rPr>
          <w:sz w:val="28"/>
          <w:szCs w:val="28"/>
        </w:rPr>
      </w:pPr>
    </w:p>
    <w:p w:rsidR="00984551" w:rsidRPr="00B250AC" w:rsidRDefault="00984551" w:rsidP="00984551">
      <w:pPr>
        <w:ind w:firstLine="720"/>
        <w:jc w:val="both"/>
        <w:rPr>
          <w:sz w:val="28"/>
          <w:szCs w:val="28"/>
        </w:rPr>
      </w:pPr>
      <w:r w:rsidRPr="00B250AC">
        <w:rPr>
          <w:sz w:val="28"/>
          <w:szCs w:val="28"/>
        </w:rPr>
        <w:t xml:space="preserve">Aprēķinos iekļauti tikai tie darbinieki, kuri saņem algu esošās minimālās </w:t>
      </w:r>
      <w:r>
        <w:rPr>
          <w:sz w:val="28"/>
          <w:szCs w:val="28"/>
        </w:rPr>
        <w:t xml:space="preserve">mēneša </w:t>
      </w:r>
      <w:r w:rsidRPr="00B250AC">
        <w:rPr>
          <w:sz w:val="28"/>
          <w:szCs w:val="28"/>
        </w:rPr>
        <w:t xml:space="preserve">darba algas apmērā un tie darbinieki, kuru alga nepārsniedz piedāvātos minimālās </w:t>
      </w:r>
      <w:r>
        <w:rPr>
          <w:sz w:val="28"/>
          <w:szCs w:val="28"/>
        </w:rPr>
        <w:t>mēneša darba algas apmērus.</w:t>
      </w:r>
    </w:p>
    <w:p w:rsidR="00984551" w:rsidRPr="00B250AC" w:rsidRDefault="00984551" w:rsidP="00984551">
      <w:pPr>
        <w:ind w:firstLine="720"/>
        <w:jc w:val="both"/>
        <w:rPr>
          <w:sz w:val="28"/>
          <w:szCs w:val="28"/>
        </w:rPr>
      </w:pPr>
      <w:r w:rsidRPr="00B250AC">
        <w:rPr>
          <w:sz w:val="28"/>
          <w:szCs w:val="28"/>
        </w:rPr>
        <w:t>Aprēķini veikti, balstoties uz šādiem pieņēmumiem, ka 2016.gadā:</w:t>
      </w:r>
    </w:p>
    <w:p w:rsidR="00984551" w:rsidRPr="00B250AC" w:rsidRDefault="00984551" w:rsidP="00984551">
      <w:pPr>
        <w:pStyle w:val="ListParagraph"/>
        <w:widowControl/>
        <w:numPr>
          <w:ilvl w:val="0"/>
          <w:numId w:val="19"/>
        </w:numPr>
        <w:spacing w:before="0" w:after="0" w:line="240" w:lineRule="auto"/>
        <w:contextualSpacing w:val="0"/>
        <w:rPr>
          <w:sz w:val="28"/>
          <w:szCs w:val="28"/>
          <w:lang w:val="lv-LV"/>
        </w:rPr>
      </w:pPr>
      <w:r>
        <w:rPr>
          <w:sz w:val="28"/>
          <w:szCs w:val="28"/>
          <w:lang w:val="lv-LV"/>
        </w:rPr>
        <w:t>iedzīvotāju ienākuma nodokļa</w:t>
      </w:r>
      <w:r w:rsidRPr="00B250AC">
        <w:rPr>
          <w:sz w:val="28"/>
          <w:szCs w:val="28"/>
          <w:lang w:val="lv-LV"/>
        </w:rPr>
        <w:t xml:space="preserve"> </w:t>
      </w:r>
      <w:r>
        <w:rPr>
          <w:sz w:val="28"/>
          <w:szCs w:val="28"/>
          <w:lang w:val="lv-LV"/>
        </w:rPr>
        <w:t>likme – 22% (saskaņā ar likuma „</w:t>
      </w:r>
      <w:r w:rsidRPr="00B250AC">
        <w:rPr>
          <w:sz w:val="28"/>
          <w:szCs w:val="28"/>
          <w:lang w:val="lv-LV"/>
        </w:rPr>
        <w:t>Par iedzīvotā</w:t>
      </w:r>
      <w:r>
        <w:rPr>
          <w:sz w:val="28"/>
          <w:szCs w:val="28"/>
          <w:lang w:val="lv-LV"/>
        </w:rPr>
        <w:t>ju ienākuma nodokli” noteikto);</w:t>
      </w:r>
    </w:p>
    <w:p w:rsidR="00984551" w:rsidRPr="00B250AC" w:rsidRDefault="00984551" w:rsidP="00984551">
      <w:pPr>
        <w:pStyle w:val="ListParagraph"/>
        <w:widowControl/>
        <w:numPr>
          <w:ilvl w:val="0"/>
          <w:numId w:val="19"/>
        </w:numPr>
        <w:spacing w:before="0" w:after="0" w:line="240" w:lineRule="auto"/>
        <w:contextualSpacing w:val="0"/>
        <w:rPr>
          <w:sz w:val="28"/>
          <w:szCs w:val="28"/>
          <w:lang w:val="lv-LV"/>
        </w:rPr>
      </w:pPr>
      <w:r w:rsidRPr="00B250AC">
        <w:rPr>
          <w:sz w:val="28"/>
          <w:szCs w:val="28"/>
          <w:lang w:val="lv-LV"/>
        </w:rPr>
        <w:t xml:space="preserve">darba devēja </w:t>
      </w:r>
      <w:r>
        <w:rPr>
          <w:sz w:val="28"/>
          <w:szCs w:val="28"/>
          <w:lang w:val="lv-LV"/>
        </w:rPr>
        <w:t>valsts sociālās apdrošināšanas obligātās iemaksas – 23,59% (saskaņā ar likuma „</w:t>
      </w:r>
      <w:r w:rsidRPr="00B250AC">
        <w:rPr>
          <w:sz w:val="28"/>
          <w:szCs w:val="28"/>
          <w:lang w:val="lv-LV"/>
        </w:rPr>
        <w:t>Par valsts so</w:t>
      </w:r>
      <w:r>
        <w:rPr>
          <w:sz w:val="28"/>
          <w:szCs w:val="28"/>
          <w:lang w:val="lv-LV"/>
        </w:rPr>
        <w:t>ciālo apdrošināšanu” noteikto);</w:t>
      </w:r>
    </w:p>
    <w:p w:rsidR="00984551" w:rsidRPr="00B250AC" w:rsidRDefault="00984551" w:rsidP="00984551">
      <w:pPr>
        <w:pStyle w:val="ListParagraph"/>
        <w:widowControl/>
        <w:numPr>
          <w:ilvl w:val="0"/>
          <w:numId w:val="19"/>
        </w:numPr>
        <w:spacing w:before="0" w:after="0" w:line="240" w:lineRule="auto"/>
        <w:contextualSpacing w:val="0"/>
        <w:rPr>
          <w:sz w:val="28"/>
          <w:szCs w:val="28"/>
          <w:lang w:val="lv-LV"/>
        </w:rPr>
      </w:pPr>
      <w:r w:rsidRPr="00B250AC">
        <w:rPr>
          <w:sz w:val="28"/>
          <w:szCs w:val="28"/>
          <w:lang w:val="lv-LV"/>
        </w:rPr>
        <w:t xml:space="preserve">darba ņēmēja </w:t>
      </w:r>
      <w:r>
        <w:rPr>
          <w:sz w:val="28"/>
          <w:szCs w:val="28"/>
          <w:lang w:val="lv-LV"/>
        </w:rPr>
        <w:t>valsts sociālās apdrošināšanas obligātās iemaksas – 10,50% (saskaņā ar likuma „</w:t>
      </w:r>
      <w:r w:rsidRPr="00B250AC">
        <w:rPr>
          <w:sz w:val="28"/>
          <w:szCs w:val="28"/>
          <w:lang w:val="lv-LV"/>
        </w:rPr>
        <w:t>Par valsts sociālo apdrošināšanu” noteikto).</w:t>
      </w:r>
    </w:p>
    <w:p w:rsidR="00984551" w:rsidRPr="00B250AC" w:rsidRDefault="00984551" w:rsidP="00984551">
      <w:pPr>
        <w:ind w:firstLine="720"/>
        <w:jc w:val="both"/>
        <w:rPr>
          <w:sz w:val="28"/>
          <w:szCs w:val="28"/>
        </w:rPr>
      </w:pPr>
      <w:r w:rsidRPr="00B250AC">
        <w:rPr>
          <w:sz w:val="28"/>
          <w:szCs w:val="28"/>
        </w:rPr>
        <w:t>Savukārt informācija par nepieciešamo papildu finansējuma apmēru mērķdotācijām un transfertiem tika saņemti no Labklājības, Kultūras, Veselības, Tieslietu un Izglītības un zinātnes ministrijām (*Valsts budžeta mērķdotācijas: Veselības ministrijas bu</w:t>
      </w:r>
      <w:r>
        <w:rPr>
          <w:sz w:val="28"/>
          <w:szCs w:val="28"/>
        </w:rPr>
        <w:t>džeta apakšprogrammai 33.01.00 „</w:t>
      </w:r>
      <w:r w:rsidRPr="00B250AC">
        <w:rPr>
          <w:sz w:val="28"/>
          <w:szCs w:val="28"/>
        </w:rPr>
        <w:t>Ārstniecība</w:t>
      </w:r>
      <w:r>
        <w:rPr>
          <w:sz w:val="28"/>
          <w:szCs w:val="28"/>
        </w:rPr>
        <w:t>”</w:t>
      </w:r>
      <w:r w:rsidRPr="00B250AC">
        <w:rPr>
          <w:sz w:val="28"/>
          <w:szCs w:val="28"/>
        </w:rPr>
        <w:t>; Labklājības ministrijas bu</w:t>
      </w:r>
      <w:r>
        <w:rPr>
          <w:sz w:val="28"/>
          <w:szCs w:val="28"/>
        </w:rPr>
        <w:t>džeta apakšprogrammai 05.01.00 „</w:t>
      </w:r>
      <w:r w:rsidRPr="00B250AC">
        <w:rPr>
          <w:sz w:val="28"/>
          <w:szCs w:val="28"/>
        </w:rPr>
        <w:t>Sociālās re</w:t>
      </w:r>
      <w:r>
        <w:rPr>
          <w:sz w:val="28"/>
          <w:szCs w:val="28"/>
        </w:rPr>
        <w:t>habilitācijas valsts programmas”</w:t>
      </w:r>
      <w:r w:rsidRPr="00B250AC">
        <w:rPr>
          <w:sz w:val="28"/>
          <w:szCs w:val="28"/>
        </w:rPr>
        <w:t xml:space="preserve"> valsts budžeta uzturēšanas izdevumu transfertiem pašvaldībām noteiktam mērķim asistentu pakalpojumu nodrošināšanai; Republikas pilsētu un novadu pašvaldībām </w:t>
      </w:r>
      <w:r>
        <w:rPr>
          <w:sz w:val="28"/>
          <w:szCs w:val="28"/>
        </w:rPr>
        <w:t>–</w:t>
      </w:r>
      <w:r w:rsidRPr="00B250AC">
        <w:rPr>
          <w:sz w:val="28"/>
          <w:szCs w:val="28"/>
        </w:rPr>
        <w:t xml:space="preserve"> pašvaldību speciālajām pirmsskolas iestādēm, internātskolām un sanatorijas tipa internātskolām, speciālajām internātskolām bērniem ar fiziskās un garīgās attīstības traucējumiem; Pašvaldību tautas kolektīvu vadītājiem, kā arī Uzturlīdzekļu garantijas fondam papildus finansējums uzturlīdzekļu izmaksām).</w:t>
      </w:r>
    </w:p>
    <w:p w:rsidR="00DC257A" w:rsidRPr="00E74EBB" w:rsidRDefault="001A23B3" w:rsidP="00DF13F5">
      <w:pPr>
        <w:ind w:firstLine="720"/>
        <w:jc w:val="both"/>
        <w:rPr>
          <w:sz w:val="28"/>
          <w:szCs w:val="28"/>
        </w:rPr>
      </w:pPr>
      <w:r w:rsidRPr="00C43BE8">
        <w:rPr>
          <w:sz w:val="28"/>
          <w:szCs w:val="28"/>
        </w:rPr>
        <w:t>Finanšu ministrija veica provizorisku aprēķinu, izmantojot</w:t>
      </w:r>
      <w:r w:rsidR="00DC257A">
        <w:rPr>
          <w:sz w:val="28"/>
          <w:szCs w:val="28"/>
        </w:rPr>
        <w:t xml:space="preserve"> informāciju, kas </w:t>
      </w:r>
      <w:r w:rsidR="00DF13F5">
        <w:rPr>
          <w:sz w:val="28"/>
          <w:szCs w:val="28"/>
        </w:rPr>
        <w:t>tiek iesniegta atbilstoši 2010.</w:t>
      </w:r>
      <w:r w:rsidR="00DC257A">
        <w:rPr>
          <w:sz w:val="28"/>
          <w:szCs w:val="28"/>
        </w:rPr>
        <w:t xml:space="preserve">gada 21.jūnija Ministru kabineta noteikumu </w:t>
      </w:r>
      <w:r w:rsidR="00DF13F5">
        <w:rPr>
          <w:sz w:val="28"/>
          <w:szCs w:val="28"/>
        </w:rPr>
        <w:lastRenderedPageBreak/>
        <w:t>Nr.541 „</w:t>
      </w:r>
      <w:r w:rsidR="00DC257A">
        <w:rPr>
          <w:sz w:val="28"/>
          <w:szCs w:val="28"/>
        </w:rPr>
        <w:t>Noteikumi par valsts un pašvaldību institūciju amatpersonu un darbinieku atlīdzības uzskaites sistēmu” 14.pi</w:t>
      </w:r>
      <w:r w:rsidR="002633DF">
        <w:rPr>
          <w:sz w:val="28"/>
          <w:szCs w:val="28"/>
        </w:rPr>
        <w:t>elikumam par 2015.gada janvāri.</w:t>
      </w:r>
    </w:p>
    <w:p w:rsidR="001A23B3" w:rsidRPr="00C43BE8" w:rsidRDefault="00DC257A" w:rsidP="00373062">
      <w:pPr>
        <w:ind w:firstLine="720"/>
        <w:jc w:val="both"/>
        <w:rPr>
          <w:sz w:val="28"/>
          <w:szCs w:val="28"/>
        </w:rPr>
      </w:pPr>
      <w:r>
        <w:rPr>
          <w:sz w:val="28"/>
          <w:szCs w:val="28"/>
        </w:rPr>
        <w:t>L</w:t>
      </w:r>
      <w:r w:rsidR="001A23B3" w:rsidRPr="00C43BE8">
        <w:rPr>
          <w:sz w:val="28"/>
          <w:szCs w:val="28"/>
        </w:rPr>
        <w:t xml:space="preserve">ēmuma pieņemšanas </w:t>
      </w:r>
      <w:r>
        <w:rPr>
          <w:sz w:val="28"/>
          <w:szCs w:val="28"/>
        </w:rPr>
        <w:t xml:space="preserve">gadījumā </w:t>
      </w:r>
      <w:r w:rsidR="008D318F" w:rsidRPr="00C43BE8">
        <w:rPr>
          <w:sz w:val="28"/>
          <w:szCs w:val="28"/>
        </w:rPr>
        <w:t xml:space="preserve">Ministru kabinetā </w:t>
      </w:r>
      <w:r w:rsidR="001A23B3" w:rsidRPr="00C43BE8">
        <w:rPr>
          <w:sz w:val="28"/>
          <w:szCs w:val="28"/>
        </w:rPr>
        <w:t xml:space="preserve">jautājumā par </w:t>
      </w:r>
      <w:r w:rsidRPr="00C43BE8">
        <w:rPr>
          <w:sz w:val="28"/>
          <w:szCs w:val="28"/>
        </w:rPr>
        <w:t>minimāl</w:t>
      </w:r>
      <w:r>
        <w:rPr>
          <w:sz w:val="28"/>
          <w:szCs w:val="28"/>
        </w:rPr>
        <w:t>ās</w:t>
      </w:r>
      <w:r w:rsidRPr="00C43BE8">
        <w:rPr>
          <w:sz w:val="28"/>
          <w:szCs w:val="28"/>
        </w:rPr>
        <w:t xml:space="preserve"> </w:t>
      </w:r>
      <w:r w:rsidR="0044525C" w:rsidRPr="00C43BE8">
        <w:rPr>
          <w:sz w:val="28"/>
          <w:szCs w:val="28"/>
        </w:rPr>
        <w:t xml:space="preserve">mēneša darba </w:t>
      </w:r>
      <w:r w:rsidR="001A23B3" w:rsidRPr="00C43BE8">
        <w:rPr>
          <w:sz w:val="28"/>
          <w:szCs w:val="28"/>
        </w:rPr>
        <w:t>algu</w:t>
      </w:r>
      <w:r>
        <w:rPr>
          <w:sz w:val="28"/>
          <w:szCs w:val="28"/>
        </w:rPr>
        <w:t xml:space="preserve"> paaugstināšanu</w:t>
      </w:r>
      <w:r w:rsidR="00EB5054">
        <w:rPr>
          <w:sz w:val="28"/>
          <w:szCs w:val="28"/>
        </w:rPr>
        <w:t xml:space="preserve"> 2016.gadā</w:t>
      </w:r>
      <w:r w:rsidR="001A23B3" w:rsidRPr="00C43BE8">
        <w:rPr>
          <w:sz w:val="28"/>
          <w:szCs w:val="28"/>
        </w:rPr>
        <w:t>, aprēķini tiks precizēti.</w:t>
      </w:r>
    </w:p>
    <w:p w:rsidR="00AB1C1B" w:rsidRPr="00C43BE8" w:rsidRDefault="00AB1C1B" w:rsidP="00373062">
      <w:pPr>
        <w:ind w:right="-109"/>
        <w:jc w:val="both"/>
        <w:rPr>
          <w:sz w:val="28"/>
          <w:szCs w:val="28"/>
        </w:rPr>
      </w:pPr>
    </w:p>
    <w:p w:rsidR="00A67230" w:rsidRPr="00765269" w:rsidRDefault="00FC1305" w:rsidP="00A67230">
      <w:pPr>
        <w:ind w:right="-109"/>
        <w:jc w:val="center"/>
        <w:rPr>
          <w:b/>
          <w:bCs/>
          <w:sz w:val="32"/>
          <w:szCs w:val="32"/>
        </w:rPr>
      </w:pPr>
      <w:r w:rsidRPr="00765269">
        <w:rPr>
          <w:b/>
          <w:bCs/>
          <w:sz w:val="32"/>
          <w:szCs w:val="32"/>
        </w:rPr>
        <w:t>4</w:t>
      </w:r>
      <w:r w:rsidR="00F90926" w:rsidRPr="00765269">
        <w:rPr>
          <w:b/>
          <w:bCs/>
          <w:sz w:val="32"/>
          <w:szCs w:val="32"/>
        </w:rPr>
        <w:t>. </w:t>
      </w:r>
      <w:r w:rsidR="00A67230" w:rsidRPr="00765269">
        <w:rPr>
          <w:b/>
          <w:bCs/>
          <w:sz w:val="32"/>
          <w:szCs w:val="32"/>
        </w:rPr>
        <w:t>Priekšlikum</w:t>
      </w:r>
      <w:r w:rsidR="004D7235" w:rsidRPr="00765269">
        <w:rPr>
          <w:b/>
          <w:bCs/>
          <w:sz w:val="32"/>
          <w:szCs w:val="32"/>
        </w:rPr>
        <w:t>i</w:t>
      </w:r>
      <w:r w:rsidR="00A67230" w:rsidRPr="00765269">
        <w:rPr>
          <w:b/>
          <w:bCs/>
          <w:sz w:val="32"/>
          <w:szCs w:val="32"/>
        </w:rPr>
        <w:t xml:space="preserve"> NTSP lēmuma pieņemšanai</w:t>
      </w:r>
    </w:p>
    <w:p w:rsidR="007C7628" w:rsidRPr="00765269" w:rsidRDefault="007C7628" w:rsidP="007C7628">
      <w:pPr>
        <w:autoSpaceDE w:val="0"/>
        <w:autoSpaceDN w:val="0"/>
        <w:adjustRightInd w:val="0"/>
        <w:jc w:val="both"/>
        <w:rPr>
          <w:sz w:val="28"/>
          <w:szCs w:val="28"/>
        </w:rPr>
      </w:pPr>
    </w:p>
    <w:p w:rsidR="00043A8E" w:rsidRPr="00765269" w:rsidRDefault="00043A8E" w:rsidP="0023679F">
      <w:pPr>
        <w:autoSpaceDE w:val="0"/>
        <w:autoSpaceDN w:val="0"/>
        <w:adjustRightInd w:val="0"/>
        <w:ind w:firstLine="720"/>
        <w:jc w:val="both"/>
        <w:rPr>
          <w:sz w:val="28"/>
          <w:szCs w:val="28"/>
        </w:rPr>
      </w:pPr>
      <w:r w:rsidRPr="00765269">
        <w:rPr>
          <w:sz w:val="28"/>
          <w:szCs w:val="28"/>
        </w:rPr>
        <w:t xml:space="preserve">Labklājības ministrija piedāvā </w:t>
      </w:r>
      <w:r w:rsidR="00AF3E43" w:rsidRPr="00765269">
        <w:rPr>
          <w:sz w:val="28"/>
          <w:szCs w:val="28"/>
        </w:rPr>
        <w:t xml:space="preserve">NTSP sēdē </w:t>
      </w:r>
      <w:r w:rsidRPr="00765269">
        <w:rPr>
          <w:sz w:val="28"/>
          <w:szCs w:val="28"/>
        </w:rPr>
        <w:t>izvērtēšanai priekšlikumu par minimālās mēneša darb</w:t>
      </w:r>
      <w:bookmarkStart w:id="0" w:name="_GoBack"/>
      <w:bookmarkEnd w:id="0"/>
      <w:r w:rsidRPr="00765269">
        <w:rPr>
          <w:sz w:val="28"/>
          <w:szCs w:val="28"/>
        </w:rPr>
        <w:t xml:space="preserve">a algas </w:t>
      </w:r>
      <w:r w:rsidR="00DD2F26" w:rsidRPr="00765269">
        <w:rPr>
          <w:sz w:val="28"/>
          <w:szCs w:val="28"/>
        </w:rPr>
        <w:t>noteikšanu</w:t>
      </w:r>
      <w:r w:rsidRPr="00765269">
        <w:rPr>
          <w:sz w:val="28"/>
          <w:szCs w:val="28"/>
        </w:rPr>
        <w:t xml:space="preserve"> 201</w:t>
      </w:r>
      <w:r w:rsidR="004B490F" w:rsidRPr="00765269">
        <w:rPr>
          <w:sz w:val="28"/>
          <w:szCs w:val="28"/>
        </w:rPr>
        <w:t>6</w:t>
      </w:r>
      <w:r w:rsidRPr="00765269">
        <w:rPr>
          <w:sz w:val="28"/>
          <w:szCs w:val="28"/>
        </w:rPr>
        <w:t xml:space="preserve">.gadā šādos </w:t>
      </w:r>
      <w:r w:rsidR="00E53856" w:rsidRPr="00765269">
        <w:rPr>
          <w:sz w:val="28"/>
          <w:szCs w:val="28"/>
        </w:rPr>
        <w:t>trīs</w:t>
      </w:r>
      <w:r w:rsidRPr="00765269">
        <w:rPr>
          <w:sz w:val="28"/>
          <w:szCs w:val="28"/>
        </w:rPr>
        <w:t xml:space="preserve"> variantos:</w:t>
      </w:r>
    </w:p>
    <w:p w:rsidR="00DF13F5" w:rsidRPr="00765269" w:rsidRDefault="00DF13F5" w:rsidP="00EB0BE8">
      <w:pPr>
        <w:autoSpaceDE w:val="0"/>
        <w:autoSpaceDN w:val="0"/>
        <w:adjustRightInd w:val="0"/>
        <w:jc w:val="both"/>
        <w:rPr>
          <w:i/>
          <w:sz w:val="28"/>
          <w:szCs w:val="28"/>
        </w:rPr>
      </w:pPr>
    </w:p>
    <w:p w:rsidR="00E53856" w:rsidRPr="00765269" w:rsidRDefault="00E53856" w:rsidP="00E53856">
      <w:pPr>
        <w:jc w:val="both"/>
        <w:rPr>
          <w:sz w:val="28"/>
          <w:szCs w:val="28"/>
        </w:rPr>
      </w:pPr>
      <w:r w:rsidRPr="00765269">
        <w:rPr>
          <w:b/>
          <w:bCs/>
          <w:i/>
          <w:sz w:val="28"/>
          <w:szCs w:val="28"/>
        </w:rPr>
        <w:t>1.variants</w:t>
      </w:r>
      <w:r w:rsidRPr="00765269">
        <w:rPr>
          <w:sz w:val="28"/>
          <w:szCs w:val="28"/>
        </w:rPr>
        <w:t xml:space="preserve"> – saglabāt minimālo mēneša darba algu </w:t>
      </w:r>
      <w:r w:rsidRPr="00765269">
        <w:rPr>
          <w:b/>
          <w:sz w:val="28"/>
          <w:szCs w:val="28"/>
        </w:rPr>
        <w:t xml:space="preserve">360 </w:t>
      </w:r>
      <w:proofErr w:type="spellStart"/>
      <w:r w:rsidRPr="00765269">
        <w:rPr>
          <w:b/>
          <w:i/>
          <w:sz w:val="28"/>
          <w:szCs w:val="28"/>
        </w:rPr>
        <w:t>euro</w:t>
      </w:r>
      <w:proofErr w:type="spellEnd"/>
      <w:r w:rsidRPr="00765269">
        <w:rPr>
          <w:b/>
          <w:sz w:val="28"/>
          <w:szCs w:val="28"/>
        </w:rPr>
        <w:t xml:space="preserve"> apmērā</w:t>
      </w:r>
      <w:r w:rsidRPr="00765269">
        <w:rPr>
          <w:sz w:val="28"/>
          <w:szCs w:val="28"/>
        </w:rPr>
        <w:t xml:space="preserve"> (0,0%), sākot ar 2016.gada 1.janvāri;</w:t>
      </w:r>
    </w:p>
    <w:p w:rsidR="00E53856" w:rsidRPr="00765269" w:rsidRDefault="00E53856" w:rsidP="00E53856">
      <w:pPr>
        <w:jc w:val="both"/>
        <w:rPr>
          <w:sz w:val="28"/>
          <w:szCs w:val="28"/>
        </w:rPr>
      </w:pPr>
    </w:p>
    <w:p w:rsidR="00E53856" w:rsidRPr="00765269" w:rsidRDefault="00E53856" w:rsidP="00E53856">
      <w:pPr>
        <w:jc w:val="both"/>
        <w:rPr>
          <w:sz w:val="28"/>
          <w:szCs w:val="28"/>
        </w:rPr>
      </w:pPr>
      <w:r w:rsidRPr="00765269">
        <w:rPr>
          <w:b/>
          <w:bCs/>
          <w:i/>
          <w:sz w:val="28"/>
          <w:szCs w:val="28"/>
        </w:rPr>
        <w:t>2.variants</w:t>
      </w:r>
      <w:r w:rsidRPr="00765269">
        <w:rPr>
          <w:sz w:val="28"/>
          <w:szCs w:val="28"/>
        </w:rPr>
        <w:t xml:space="preserve"> – paaugstināt minimālo mēneša darba algu no 360 </w:t>
      </w:r>
      <w:proofErr w:type="spellStart"/>
      <w:r w:rsidRPr="00765269">
        <w:rPr>
          <w:i/>
          <w:sz w:val="28"/>
          <w:szCs w:val="28"/>
        </w:rPr>
        <w:t>euro</w:t>
      </w:r>
      <w:proofErr w:type="spellEnd"/>
      <w:r w:rsidRPr="00765269">
        <w:rPr>
          <w:sz w:val="28"/>
          <w:szCs w:val="28"/>
        </w:rPr>
        <w:t xml:space="preserve"> </w:t>
      </w:r>
      <w:r w:rsidRPr="00765269">
        <w:rPr>
          <w:b/>
          <w:sz w:val="28"/>
          <w:szCs w:val="28"/>
        </w:rPr>
        <w:t xml:space="preserve">līdz 367 </w:t>
      </w:r>
      <w:proofErr w:type="spellStart"/>
      <w:r w:rsidRPr="00765269">
        <w:rPr>
          <w:b/>
          <w:i/>
          <w:sz w:val="28"/>
          <w:szCs w:val="28"/>
        </w:rPr>
        <w:t>euro</w:t>
      </w:r>
      <w:proofErr w:type="spellEnd"/>
      <w:r w:rsidRPr="00765269">
        <w:rPr>
          <w:sz w:val="28"/>
          <w:szCs w:val="28"/>
        </w:rPr>
        <w:t xml:space="preserve"> (1,9%) sākot ar 2016.gada 1.janvāri;</w:t>
      </w:r>
    </w:p>
    <w:p w:rsidR="00E53856" w:rsidRPr="00765269" w:rsidRDefault="00E53856" w:rsidP="00E53856">
      <w:pPr>
        <w:jc w:val="both"/>
        <w:rPr>
          <w:sz w:val="28"/>
          <w:szCs w:val="28"/>
        </w:rPr>
      </w:pPr>
    </w:p>
    <w:p w:rsidR="00E53856" w:rsidRPr="00C43BE8" w:rsidRDefault="00E53856" w:rsidP="00E53856">
      <w:pPr>
        <w:jc w:val="both"/>
        <w:rPr>
          <w:sz w:val="28"/>
          <w:szCs w:val="28"/>
        </w:rPr>
      </w:pPr>
      <w:r w:rsidRPr="00765269">
        <w:rPr>
          <w:b/>
          <w:i/>
          <w:sz w:val="28"/>
          <w:szCs w:val="28"/>
        </w:rPr>
        <w:t>3.variants</w:t>
      </w:r>
      <w:r w:rsidRPr="00765269">
        <w:rPr>
          <w:sz w:val="28"/>
          <w:szCs w:val="28"/>
        </w:rPr>
        <w:t xml:space="preserve"> – paaugstināt minimālo mēneša darba algu no 360 </w:t>
      </w:r>
      <w:proofErr w:type="spellStart"/>
      <w:r w:rsidRPr="00765269">
        <w:rPr>
          <w:i/>
          <w:sz w:val="28"/>
          <w:szCs w:val="28"/>
        </w:rPr>
        <w:t>euro</w:t>
      </w:r>
      <w:proofErr w:type="spellEnd"/>
      <w:r w:rsidRPr="00765269">
        <w:rPr>
          <w:sz w:val="28"/>
          <w:szCs w:val="28"/>
        </w:rPr>
        <w:t xml:space="preserve"> </w:t>
      </w:r>
      <w:r w:rsidRPr="00765269">
        <w:rPr>
          <w:b/>
          <w:sz w:val="28"/>
          <w:szCs w:val="28"/>
        </w:rPr>
        <w:t xml:space="preserve">līdz 375 </w:t>
      </w:r>
      <w:proofErr w:type="spellStart"/>
      <w:r w:rsidRPr="00765269">
        <w:rPr>
          <w:b/>
          <w:i/>
          <w:sz w:val="28"/>
          <w:szCs w:val="28"/>
        </w:rPr>
        <w:t>euro</w:t>
      </w:r>
      <w:proofErr w:type="spellEnd"/>
      <w:r w:rsidRPr="00765269">
        <w:rPr>
          <w:sz w:val="28"/>
          <w:szCs w:val="28"/>
        </w:rPr>
        <w:t xml:space="preserve"> (4,2%) sākot ar 2016.gada 1.janvāri.</w:t>
      </w:r>
    </w:p>
    <w:p w:rsidR="00E53856" w:rsidRDefault="00E53856" w:rsidP="00EB0BE8">
      <w:pPr>
        <w:autoSpaceDE w:val="0"/>
        <w:autoSpaceDN w:val="0"/>
        <w:adjustRightInd w:val="0"/>
        <w:jc w:val="both"/>
        <w:rPr>
          <w:i/>
          <w:sz w:val="28"/>
          <w:szCs w:val="28"/>
        </w:rPr>
      </w:pPr>
    </w:p>
    <w:p w:rsidR="00530BEC" w:rsidRPr="00C43BE8" w:rsidRDefault="00530BEC" w:rsidP="00EB0BE8">
      <w:pPr>
        <w:autoSpaceDE w:val="0"/>
        <w:autoSpaceDN w:val="0"/>
        <w:adjustRightInd w:val="0"/>
        <w:jc w:val="both"/>
        <w:rPr>
          <w:sz w:val="28"/>
          <w:szCs w:val="28"/>
        </w:rPr>
      </w:pPr>
    </w:p>
    <w:p w:rsidR="001C2296" w:rsidRPr="00C43BE8" w:rsidRDefault="001C2296" w:rsidP="001647F2">
      <w:pPr>
        <w:ind w:right="-109"/>
        <w:rPr>
          <w:bCs/>
          <w:sz w:val="28"/>
          <w:szCs w:val="28"/>
        </w:rPr>
      </w:pPr>
    </w:p>
    <w:p w:rsidR="003D70C7" w:rsidRPr="00C43BE8" w:rsidRDefault="003D70C7" w:rsidP="001647F2">
      <w:pPr>
        <w:ind w:right="-109"/>
        <w:rPr>
          <w:bCs/>
          <w:sz w:val="28"/>
          <w:szCs w:val="28"/>
        </w:rPr>
      </w:pPr>
    </w:p>
    <w:p w:rsidR="00450AD0" w:rsidRPr="00C43BE8" w:rsidRDefault="00450AD0" w:rsidP="001647F2">
      <w:pPr>
        <w:ind w:right="-109"/>
        <w:rPr>
          <w:bCs/>
          <w:sz w:val="28"/>
          <w:szCs w:val="28"/>
        </w:rPr>
      </w:pPr>
      <w:r w:rsidRPr="00C43BE8">
        <w:rPr>
          <w:bCs/>
          <w:sz w:val="28"/>
          <w:szCs w:val="28"/>
        </w:rPr>
        <w:t>Labklājības ministr</w:t>
      </w:r>
      <w:r w:rsidR="002E0403" w:rsidRPr="00C43BE8">
        <w:rPr>
          <w:bCs/>
          <w:sz w:val="28"/>
          <w:szCs w:val="28"/>
        </w:rPr>
        <w:t>s</w:t>
      </w:r>
      <w:r w:rsidRPr="00C43BE8">
        <w:rPr>
          <w:bCs/>
          <w:sz w:val="28"/>
          <w:szCs w:val="28"/>
        </w:rPr>
        <w:tab/>
      </w:r>
      <w:r w:rsidRPr="00C43BE8">
        <w:rPr>
          <w:bCs/>
          <w:sz w:val="28"/>
          <w:szCs w:val="28"/>
        </w:rPr>
        <w:tab/>
      </w:r>
      <w:r w:rsidRPr="00C43BE8">
        <w:rPr>
          <w:bCs/>
          <w:sz w:val="28"/>
          <w:szCs w:val="28"/>
        </w:rPr>
        <w:tab/>
      </w:r>
      <w:r w:rsidRPr="00C43BE8">
        <w:rPr>
          <w:bCs/>
          <w:sz w:val="28"/>
          <w:szCs w:val="28"/>
        </w:rPr>
        <w:tab/>
      </w:r>
      <w:r w:rsidRPr="00C43BE8">
        <w:rPr>
          <w:bCs/>
          <w:sz w:val="28"/>
          <w:szCs w:val="28"/>
        </w:rPr>
        <w:tab/>
      </w:r>
      <w:r w:rsidRPr="00C43BE8">
        <w:rPr>
          <w:bCs/>
          <w:sz w:val="28"/>
          <w:szCs w:val="28"/>
        </w:rPr>
        <w:tab/>
      </w:r>
      <w:r w:rsidRPr="00C43BE8">
        <w:rPr>
          <w:bCs/>
          <w:sz w:val="28"/>
          <w:szCs w:val="28"/>
        </w:rPr>
        <w:tab/>
      </w:r>
      <w:r w:rsidRPr="00C43BE8">
        <w:rPr>
          <w:bCs/>
          <w:sz w:val="28"/>
          <w:szCs w:val="28"/>
        </w:rPr>
        <w:tab/>
      </w:r>
      <w:r w:rsidR="002E0403" w:rsidRPr="00C43BE8">
        <w:rPr>
          <w:bCs/>
          <w:sz w:val="28"/>
          <w:szCs w:val="28"/>
        </w:rPr>
        <w:t>U.Augulis</w:t>
      </w:r>
    </w:p>
    <w:p w:rsidR="00EB74E9" w:rsidRDefault="00EB74E9" w:rsidP="001647F2">
      <w:pPr>
        <w:ind w:right="-109"/>
        <w:rPr>
          <w:bCs/>
          <w:sz w:val="28"/>
          <w:szCs w:val="28"/>
        </w:rPr>
      </w:pPr>
    </w:p>
    <w:p w:rsidR="00AB1C1B" w:rsidRDefault="00AB1C1B" w:rsidP="001647F2">
      <w:pPr>
        <w:ind w:right="-109"/>
        <w:rPr>
          <w:bCs/>
          <w:sz w:val="28"/>
          <w:szCs w:val="28"/>
        </w:rPr>
      </w:pPr>
    </w:p>
    <w:p w:rsidR="00AB1C1B" w:rsidRDefault="00AB1C1B" w:rsidP="001647F2">
      <w:pPr>
        <w:ind w:right="-109"/>
        <w:rPr>
          <w:bCs/>
          <w:sz w:val="28"/>
          <w:szCs w:val="28"/>
        </w:rPr>
      </w:pPr>
    </w:p>
    <w:p w:rsidR="00AB1C1B" w:rsidRDefault="00AB1C1B" w:rsidP="001647F2">
      <w:pPr>
        <w:ind w:right="-109"/>
        <w:rPr>
          <w:bCs/>
          <w:sz w:val="28"/>
          <w:szCs w:val="28"/>
        </w:rPr>
      </w:pPr>
    </w:p>
    <w:p w:rsidR="00AB1C1B" w:rsidRDefault="00AB1C1B" w:rsidP="001647F2">
      <w:pPr>
        <w:ind w:right="-109"/>
        <w:rPr>
          <w:bCs/>
          <w:sz w:val="28"/>
          <w:szCs w:val="28"/>
        </w:rPr>
      </w:pPr>
    </w:p>
    <w:p w:rsidR="00AB1C1B" w:rsidRDefault="00AB1C1B" w:rsidP="001647F2">
      <w:pPr>
        <w:ind w:right="-109"/>
        <w:rPr>
          <w:bCs/>
          <w:sz w:val="28"/>
          <w:szCs w:val="28"/>
        </w:rPr>
      </w:pPr>
    </w:p>
    <w:p w:rsidR="00AB1C1B" w:rsidRDefault="00AB1C1B" w:rsidP="001647F2">
      <w:pPr>
        <w:ind w:right="-109"/>
        <w:rPr>
          <w:bCs/>
          <w:sz w:val="28"/>
          <w:szCs w:val="28"/>
        </w:rPr>
      </w:pPr>
    </w:p>
    <w:p w:rsidR="00710541" w:rsidRDefault="00710541" w:rsidP="001647F2">
      <w:pPr>
        <w:ind w:right="-109"/>
        <w:rPr>
          <w:bCs/>
          <w:sz w:val="28"/>
          <w:szCs w:val="28"/>
        </w:rPr>
      </w:pPr>
    </w:p>
    <w:p w:rsidR="00710541" w:rsidRDefault="00710541" w:rsidP="001647F2">
      <w:pPr>
        <w:ind w:right="-109"/>
        <w:rPr>
          <w:bCs/>
          <w:sz w:val="28"/>
          <w:szCs w:val="28"/>
        </w:rPr>
      </w:pPr>
    </w:p>
    <w:p w:rsidR="00710541" w:rsidRDefault="00710541" w:rsidP="001647F2">
      <w:pPr>
        <w:ind w:right="-109"/>
        <w:rPr>
          <w:bCs/>
          <w:sz w:val="28"/>
          <w:szCs w:val="28"/>
        </w:rPr>
      </w:pPr>
    </w:p>
    <w:p w:rsidR="00AB1C1B" w:rsidRDefault="00AB1C1B" w:rsidP="001647F2">
      <w:pPr>
        <w:ind w:right="-109"/>
        <w:rPr>
          <w:bCs/>
          <w:sz w:val="28"/>
          <w:szCs w:val="28"/>
        </w:rPr>
      </w:pPr>
    </w:p>
    <w:p w:rsidR="00AB1C1B" w:rsidRDefault="00AB1C1B" w:rsidP="001647F2">
      <w:pPr>
        <w:ind w:right="-109"/>
        <w:rPr>
          <w:bCs/>
          <w:sz w:val="28"/>
          <w:szCs w:val="28"/>
        </w:rPr>
      </w:pPr>
    </w:p>
    <w:p w:rsidR="00AB1C1B" w:rsidRDefault="00AB1C1B" w:rsidP="001647F2">
      <w:pPr>
        <w:ind w:right="-109"/>
        <w:rPr>
          <w:bCs/>
          <w:sz w:val="28"/>
          <w:szCs w:val="28"/>
        </w:rPr>
      </w:pPr>
    </w:p>
    <w:p w:rsidR="00AB1C1B" w:rsidRPr="00C43BE8" w:rsidRDefault="00AB1C1B" w:rsidP="001647F2">
      <w:pPr>
        <w:ind w:right="-109"/>
        <w:rPr>
          <w:bCs/>
          <w:sz w:val="28"/>
          <w:szCs w:val="28"/>
        </w:rPr>
      </w:pPr>
    </w:p>
    <w:p w:rsidR="00DE2DED" w:rsidRPr="00C43BE8" w:rsidRDefault="00DE2DED" w:rsidP="001647F2">
      <w:pPr>
        <w:ind w:right="-109"/>
        <w:rPr>
          <w:bCs/>
          <w:sz w:val="28"/>
          <w:szCs w:val="28"/>
        </w:rPr>
      </w:pPr>
    </w:p>
    <w:p w:rsidR="00EB74E9" w:rsidRPr="00C43BE8" w:rsidRDefault="00FC1305" w:rsidP="00EB74E9">
      <w:pPr>
        <w:ind w:right="-109"/>
        <w:rPr>
          <w:bCs/>
          <w:sz w:val="22"/>
          <w:szCs w:val="22"/>
        </w:rPr>
      </w:pPr>
      <w:r>
        <w:rPr>
          <w:bCs/>
          <w:sz w:val="22"/>
          <w:szCs w:val="22"/>
        </w:rPr>
        <w:t>2</w:t>
      </w:r>
      <w:r w:rsidR="00E91717">
        <w:rPr>
          <w:bCs/>
          <w:sz w:val="22"/>
          <w:szCs w:val="22"/>
        </w:rPr>
        <w:t>6</w:t>
      </w:r>
      <w:r w:rsidR="00EB74E9" w:rsidRPr="00C43BE8">
        <w:rPr>
          <w:bCs/>
          <w:sz w:val="22"/>
          <w:szCs w:val="22"/>
        </w:rPr>
        <w:t>.</w:t>
      </w:r>
      <w:r w:rsidR="00576F21" w:rsidRPr="00C43BE8">
        <w:rPr>
          <w:bCs/>
          <w:sz w:val="22"/>
          <w:szCs w:val="22"/>
        </w:rPr>
        <w:t>0</w:t>
      </w:r>
      <w:r w:rsidR="00DF13F5">
        <w:rPr>
          <w:bCs/>
          <w:sz w:val="22"/>
          <w:szCs w:val="22"/>
        </w:rPr>
        <w:t>5</w:t>
      </w:r>
      <w:r w:rsidR="00EB74E9" w:rsidRPr="00C43BE8">
        <w:rPr>
          <w:bCs/>
          <w:sz w:val="22"/>
          <w:szCs w:val="22"/>
        </w:rPr>
        <w:t>.201</w:t>
      </w:r>
      <w:r w:rsidR="004B490F">
        <w:rPr>
          <w:bCs/>
          <w:sz w:val="22"/>
          <w:szCs w:val="22"/>
        </w:rPr>
        <w:t>5</w:t>
      </w:r>
      <w:r w:rsidR="00EB74E9" w:rsidRPr="00C43BE8">
        <w:rPr>
          <w:bCs/>
          <w:sz w:val="22"/>
          <w:szCs w:val="22"/>
        </w:rPr>
        <w:t xml:space="preserve">. </w:t>
      </w:r>
      <w:r w:rsidR="00797FB3">
        <w:rPr>
          <w:bCs/>
          <w:sz w:val="22"/>
          <w:szCs w:val="22"/>
        </w:rPr>
        <w:t>09</w:t>
      </w:r>
      <w:r w:rsidR="00EB74E9" w:rsidRPr="00C43BE8">
        <w:rPr>
          <w:bCs/>
          <w:sz w:val="22"/>
          <w:szCs w:val="22"/>
        </w:rPr>
        <w:t>:</w:t>
      </w:r>
      <w:r w:rsidR="00797FB3">
        <w:rPr>
          <w:bCs/>
          <w:sz w:val="22"/>
          <w:szCs w:val="22"/>
        </w:rPr>
        <w:t>55</w:t>
      </w:r>
    </w:p>
    <w:p w:rsidR="00EB74E9" w:rsidRPr="00C43BE8" w:rsidRDefault="003731FE" w:rsidP="00EB74E9">
      <w:pPr>
        <w:ind w:right="-109"/>
        <w:rPr>
          <w:sz w:val="22"/>
          <w:szCs w:val="22"/>
        </w:rPr>
      </w:pPr>
      <w:r>
        <w:rPr>
          <w:sz w:val="22"/>
          <w:szCs w:val="22"/>
        </w:rPr>
        <w:t>5</w:t>
      </w:r>
      <w:r w:rsidR="00642148">
        <w:rPr>
          <w:sz w:val="22"/>
          <w:szCs w:val="22"/>
        </w:rPr>
        <w:t>3</w:t>
      </w:r>
      <w:r w:rsidR="00E53856">
        <w:rPr>
          <w:sz w:val="22"/>
          <w:szCs w:val="22"/>
        </w:rPr>
        <w:t>49</w:t>
      </w:r>
    </w:p>
    <w:p w:rsidR="00EB74E9" w:rsidRPr="00C43BE8" w:rsidRDefault="00EB74E9" w:rsidP="00EB74E9">
      <w:pPr>
        <w:ind w:right="-109"/>
        <w:rPr>
          <w:bCs/>
          <w:sz w:val="22"/>
          <w:szCs w:val="22"/>
        </w:rPr>
      </w:pPr>
      <w:r w:rsidRPr="00C43BE8">
        <w:rPr>
          <w:bCs/>
          <w:sz w:val="22"/>
          <w:szCs w:val="22"/>
        </w:rPr>
        <w:t xml:space="preserve">Labklājības ministrijas </w:t>
      </w:r>
    </w:p>
    <w:p w:rsidR="00EB74E9" w:rsidRPr="00C43BE8" w:rsidRDefault="00EB74E9" w:rsidP="00EB74E9">
      <w:pPr>
        <w:ind w:right="-109"/>
        <w:rPr>
          <w:bCs/>
          <w:sz w:val="22"/>
          <w:szCs w:val="22"/>
        </w:rPr>
      </w:pPr>
      <w:r w:rsidRPr="00C43BE8">
        <w:rPr>
          <w:bCs/>
          <w:sz w:val="22"/>
          <w:szCs w:val="22"/>
        </w:rPr>
        <w:t xml:space="preserve">Darba tirgus politikas </w:t>
      </w:r>
      <w:r w:rsidR="00556DE6" w:rsidRPr="00C43BE8">
        <w:rPr>
          <w:bCs/>
          <w:sz w:val="22"/>
          <w:szCs w:val="22"/>
        </w:rPr>
        <w:t>departamenta</w:t>
      </w:r>
      <w:r w:rsidRPr="00C43BE8">
        <w:rPr>
          <w:bCs/>
          <w:sz w:val="22"/>
          <w:szCs w:val="22"/>
        </w:rPr>
        <w:t xml:space="preserve"> vecākā referente</w:t>
      </w:r>
    </w:p>
    <w:p w:rsidR="00EB74E9" w:rsidRPr="00C43BE8" w:rsidRDefault="00EB74E9" w:rsidP="00EB74E9">
      <w:pPr>
        <w:ind w:right="-109"/>
        <w:rPr>
          <w:bCs/>
          <w:sz w:val="22"/>
          <w:szCs w:val="22"/>
        </w:rPr>
      </w:pPr>
      <w:r w:rsidRPr="00C43BE8">
        <w:rPr>
          <w:bCs/>
          <w:sz w:val="22"/>
          <w:szCs w:val="22"/>
        </w:rPr>
        <w:t xml:space="preserve">Aina </w:t>
      </w:r>
      <w:r w:rsidR="00556DE6" w:rsidRPr="00C43BE8">
        <w:rPr>
          <w:bCs/>
          <w:sz w:val="22"/>
          <w:szCs w:val="22"/>
        </w:rPr>
        <w:t>Liepiņa</w:t>
      </w:r>
      <w:r w:rsidRPr="00C43BE8">
        <w:rPr>
          <w:bCs/>
          <w:sz w:val="22"/>
          <w:szCs w:val="22"/>
        </w:rPr>
        <w:t>,</w:t>
      </w:r>
      <w:r w:rsidR="008E202B" w:rsidRPr="00C43BE8">
        <w:rPr>
          <w:bCs/>
          <w:sz w:val="22"/>
          <w:szCs w:val="22"/>
        </w:rPr>
        <w:t xml:space="preserve"> t</w:t>
      </w:r>
      <w:r w:rsidR="00AB32A1">
        <w:rPr>
          <w:bCs/>
          <w:sz w:val="22"/>
          <w:szCs w:val="22"/>
        </w:rPr>
        <w:t>ālr. 67021519,</w:t>
      </w:r>
    </w:p>
    <w:p w:rsidR="00EB74E9" w:rsidRPr="00C43BE8" w:rsidRDefault="00EB74E9" w:rsidP="001647F2">
      <w:pPr>
        <w:ind w:right="-109"/>
        <w:rPr>
          <w:bCs/>
          <w:sz w:val="28"/>
          <w:szCs w:val="28"/>
        </w:rPr>
      </w:pPr>
      <w:r w:rsidRPr="00C43BE8">
        <w:rPr>
          <w:bCs/>
          <w:sz w:val="22"/>
          <w:szCs w:val="22"/>
        </w:rPr>
        <w:t>E-pasts: Aina.</w:t>
      </w:r>
      <w:r w:rsidR="00556DE6" w:rsidRPr="00C43BE8">
        <w:rPr>
          <w:bCs/>
          <w:sz w:val="22"/>
          <w:szCs w:val="22"/>
        </w:rPr>
        <w:t>Liepina</w:t>
      </w:r>
      <w:r w:rsidRPr="00C43BE8">
        <w:rPr>
          <w:bCs/>
          <w:sz w:val="22"/>
          <w:szCs w:val="22"/>
        </w:rPr>
        <w:t>@lm.gov.lv</w:t>
      </w:r>
    </w:p>
    <w:sectPr w:rsidR="00EB74E9" w:rsidRPr="00C43BE8" w:rsidSect="00B115AC">
      <w:headerReference w:type="even" r:id="rId9"/>
      <w:headerReference w:type="default" r:id="rId10"/>
      <w:footerReference w:type="default" r:id="rId11"/>
      <w:footerReference w:type="first" r:id="rId12"/>
      <w:pgSz w:w="11906" w:h="16838" w:code="9"/>
      <w:pgMar w:top="1418" w:right="1134" w:bottom="113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AC" w:rsidRDefault="006416AC">
      <w:r>
        <w:separator/>
      </w:r>
    </w:p>
  </w:endnote>
  <w:endnote w:type="continuationSeparator" w:id="0">
    <w:p w:rsidR="006416AC" w:rsidRDefault="0064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Times New Roman BaltRim">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503" w:rsidRDefault="003C7503">
    <w:pPr>
      <w:pStyle w:val="Footer"/>
    </w:pPr>
    <w:r w:rsidRPr="008342C7">
      <w:rPr>
        <w:sz w:val="20"/>
        <w:szCs w:val="20"/>
      </w:rPr>
      <w:t>LMZino_</w:t>
    </w:r>
    <w:r w:rsidR="004A0030">
      <w:rPr>
        <w:sz w:val="20"/>
        <w:szCs w:val="20"/>
      </w:rPr>
      <w:t>2</w:t>
    </w:r>
    <w:r w:rsidR="00E91717">
      <w:rPr>
        <w:sz w:val="20"/>
        <w:szCs w:val="20"/>
      </w:rPr>
      <w:t>6</w:t>
    </w:r>
    <w:r>
      <w:rPr>
        <w:sz w:val="20"/>
        <w:szCs w:val="20"/>
      </w:rPr>
      <w:t>0515</w:t>
    </w:r>
    <w:r w:rsidRPr="008342C7">
      <w:rPr>
        <w:sz w:val="20"/>
        <w:szCs w:val="20"/>
      </w:rPr>
      <w:t xml:space="preserve">; Informatīvais </w:t>
    </w:r>
    <w:smartTag w:uri="schemas-tilde-lv/tildestengine" w:element="veidnes">
      <w:smartTagPr>
        <w:attr w:name="text" w:val="ziņojums"/>
        <w:attr w:name="id" w:val="-1"/>
        <w:attr w:name="baseform" w:val="ziņojum|s"/>
      </w:smartTagPr>
      <w:r w:rsidRPr="008342C7">
        <w:rPr>
          <w:sz w:val="20"/>
          <w:szCs w:val="20"/>
        </w:rPr>
        <w:t>ziņojums</w:t>
      </w:r>
    </w:smartTag>
    <w:r w:rsidRPr="008342C7">
      <w:rPr>
        <w:sz w:val="20"/>
        <w:szCs w:val="20"/>
      </w:rPr>
      <w:t xml:space="preserve"> „Priekšlikumi par minimālās mēneša darba algas apmēr</w:t>
    </w:r>
    <w:r>
      <w:rPr>
        <w:sz w:val="20"/>
        <w:szCs w:val="20"/>
      </w:rPr>
      <w:t>u</w:t>
    </w:r>
    <w:r w:rsidRPr="008342C7">
      <w:rPr>
        <w:sz w:val="20"/>
        <w:szCs w:val="20"/>
      </w:rPr>
      <w:t xml:space="preserve"> 201</w:t>
    </w:r>
    <w:r>
      <w:rPr>
        <w:sz w:val="20"/>
        <w:szCs w:val="20"/>
      </w:rPr>
      <w:t>6</w:t>
    </w:r>
    <w:r w:rsidRPr="008342C7">
      <w:rPr>
        <w:sz w:val="20"/>
        <w:szCs w:val="20"/>
      </w:rPr>
      <w:t>.gad</w:t>
    </w:r>
    <w:r>
      <w:rPr>
        <w:sz w:val="20"/>
        <w:szCs w:val="20"/>
      </w:rPr>
      <w:t>ā</w:t>
    </w:r>
    <w:r w:rsidRPr="008342C7">
      <w:rP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503" w:rsidRDefault="003C7503">
    <w:pPr>
      <w:pStyle w:val="Footer"/>
    </w:pPr>
    <w:r w:rsidRPr="008342C7">
      <w:rPr>
        <w:sz w:val="20"/>
        <w:szCs w:val="20"/>
      </w:rPr>
      <w:t>LMZino_</w:t>
    </w:r>
    <w:r w:rsidR="004A0030">
      <w:rPr>
        <w:sz w:val="20"/>
        <w:szCs w:val="20"/>
      </w:rPr>
      <w:t>2</w:t>
    </w:r>
    <w:r w:rsidR="00E91717">
      <w:rPr>
        <w:sz w:val="20"/>
        <w:szCs w:val="20"/>
      </w:rPr>
      <w:t>6</w:t>
    </w:r>
    <w:r>
      <w:rPr>
        <w:sz w:val="20"/>
        <w:szCs w:val="20"/>
      </w:rPr>
      <w:t>0515</w:t>
    </w:r>
    <w:r w:rsidRPr="008342C7">
      <w:rPr>
        <w:sz w:val="20"/>
        <w:szCs w:val="20"/>
      </w:rPr>
      <w:t xml:space="preserve">; Informatīvais </w:t>
    </w:r>
    <w:smartTag w:uri="schemas-tilde-lv/tildestengine" w:element="veidnes">
      <w:smartTagPr>
        <w:attr w:name="text" w:val="ziņojums"/>
        <w:attr w:name="id" w:val="-1"/>
        <w:attr w:name="baseform" w:val="ziņojum|s"/>
      </w:smartTagPr>
      <w:r w:rsidRPr="008342C7">
        <w:rPr>
          <w:sz w:val="20"/>
          <w:szCs w:val="20"/>
        </w:rPr>
        <w:t>ziņojums</w:t>
      </w:r>
    </w:smartTag>
    <w:r w:rsidRPr="008342C7">
      <w:rPr>
        <w:sz w:val="20"/>
        <w:szCs w:val="20"/>
      </w:rPr>
      <w:t xml:space="preserve"> „Priekšlikumi par minimālās mēneša darba algas apmēr</w:t>
    </w:r>
    <w:r>
      <w:rPr>
        <w:sz w:val="20"/>
        <w:szCs w:val="20"/>
      </w:rPr>
      <w:t>u</w:t>
    </w:r>
    <w:r w:rsidRPr="008342C7">
      <w:rPr>
        <w:sz w:val="20"/>
        <w:szCs w:val="20"/>
      </w:rPr>
      <w:t xml:space="preserve"> 201</w:t>
    </w:r>
    <w:r>
      <w:rPr>
        <w:sz w:val="20"/>
        <w:szCs w:val="20"/>
      </w:rPr>
      <w:t>6</w:t>
    </w:r>
    <w:r w:rsidRPr="008342C7">
      <w:rPr>
        <w:sz w:val="20"/>
        <w:szCs w:val="20"/>
      </w:rPr>
      <w:t>.gad</w:t>
    </w:r>
    <w:r>
      <w:rPr>
        <w:sz w:val="20"/>
        <w:szCs w:val="20"/>
      </w:rPr>
      <w:t>ā</w:t>
    </w:r>
    <w:r w:rsidRPr="008342C7">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AC" w:rsidRDefault="006416AC">
      <w:r>
        <w:separator/>
      </w:r>
    </w:p>
  </w:footnote>
  <w:footnote w:type="continuationSeparator" w:id="0">
    <w:p w:rsidR="006416AC" w:rsidRDefault="006416AC">
      <w:r>
        <w:continuationSeparator/>
      </w:r>
    </w:p>
  </w:footnote>
  <w:footnote w:id="1">
    <w:p w:rsidR="003C7503" w:rsidRPr="00E767CE" w:rsidRDefault="003C7503" w:rsidP="00E767CE">
      <w:pPr>
        <w:pStyle w:val="FootnoteText"/>
        <w:rPr>
          <w:lang w:val="lv-LV"/>
        </w:rPr>
      </w:pPr>
      <w:r>
        <w:rPr>
          <w:rStyle w:val="FootnoteReference"/>
        </w:rPr>
        <w:footnoteRef/>
      </w:r>
      <w:r>
        <w:t xml:space="preserve"> </w:t>
      </w:r>
      <w:r w:rsidRPr="00E767CE">
        <w:rPr>
          <w:lang w:val="lv-LV"/>
        </w:rPr>
        <w:t>Sākot ar 2014. gadu, ir veiktas izmaiņas darbaspēka apsekojuma metodoloģijā. Ceturkšņa datu vispārināšanai tiek izmantots ceturkšņa vidējais privātajās mājsaimniecībās dzīvojošo iedzīvotāju skaits (iepriekš – iedzīvotāju skaits gada sākumā)</w:t>
      </w:r>
    </w:p>
  </w:footnote>
  <w:footnote w:id="2">
    <w:p w:rsidR="003C7503" w:rsidRPr="007E68F9" w:rsidRDefault="003C7503">
      <w:pPr>
        <w:pStyle w:val="FootnoteText"/>
        <w:rPr>
          <w:lang w:val="lv-LV"/>
        </w:rPr>
      </w:pPr>
      <w:r>
        <w:rPr>
          <w:rStyle w:val="FootnoteReference"/>
        </w:rPr>
        <w:footnoteRef/>
      </w:r>
      <w:r w:rsidRPr="007E68F9">
        <w:rPr>
          <w:lang w:val="lv-LV"/>
        </w:rPr>
        <w:t xml:space="preserve"> </w:t>
      </w:r>
      <w:r w:rsidRPr="007E68F9">
        <w:rPr>
          <w:b/>
          <w:bCs/>
          <w:color w:val="000000"/>
          <w:lang w:val="lv-LV"/>
        </w:rPr>
        <w:t>Mājsaimniecība</w:t>
      </w:r>
      <w:r>
        <w:rPr>
          <w:b/>
          <w:bCs/>
          <w:color w:val="000000"/>
          <w:lang w:val="lv-LV"/>
        </w:rPr>
        <w:t xml:space="preserve"> </w:t>
      </w:r>
      <w:r w:rsidRPr="00AA7B23">
        <w:rPr>
          <w:color w:val="000000"/>
          <w:lang w:val="lv-LV"/>
        </w:rPr>
        <w:t>–</w:t>
      </w:r>
      <w:r>
        <w:rPr>
          <w:b/>
          <w:bCs/>
          <w:color w:val="000000"/>
          <w:lang w:val="lv-LV"/>
        </w:rPr>
        <w:t xml:space="preserve"> </w:t>
      </w:r>
      <w:r w:rsidRPr="007E68F9">
        <w:rPr>
          <w:color w:val="000000"/>
          <w:lang w:val="lv-LV"/>
        </w:rPr>
        <w:t>ir vairākas personas, kuras dzīvo vienā mājoklī un kopīgi sedz mājsaimniecības izdevumus, vai viena persona, kura saimnieko atsevišķi. Pēc CSP datiem 2014.gadā vidēji vienā mājsaimniecībā bija 2,4 persona</w:t>
      </w:r>
      <w:r>
        <w:rPr>
          <w:color w:val="000000"/>
          <w:lang w:val="lv-LV"/>
        </w:rPr>
        <w:t>.</w:t>
      </w:r>
    </w:p>
  </w:footnote>
  <w:footnote w:id="3">
    <w:p w:rsidR="003C7503" w:rsidRPr="00AA7B23" w:rsidRDefault="003C7503">
      <w:pPr>
        <w:pStyle w:val="FootnoteText"/>
        <w:rPr>
          <w:lang w:val="lv-LV"/>
        </w:rPr>
      </w:pPr>
      <w:r>
        <w:rPr>
          <w:rStyle w:val="FootnoteReference"/>
        </w:rPr>
        <w:footnoteRef/>
      </w:r>
      <w:r w:rsidRPr="00AA7B23">
        <w:rPr>
          <w:lang w:val="lv-LV"/>
        </w:rPr>
        <w:t xml:space="preserve"> </w:t>
      </w:r>
      <w:r w:rsidRPr="00AA7B23">
        <w:rPr>
          <w:b/>
          <w:bCs/>
          <w:color w:val="000000"/>
          <w:lang w:val="lv-LV"/>
        </w:rPr>
        <w:t>Rīcībā esošie ienākumi</w:t>
      </w:r>
      <w:r>
        <w:rPr>
          <w:b/>
          <w:bCs/>
          <w:color w:val="000000"/>
          <w:lang w:val="lv-LV"/>
        </w:rPr>
        <w:t xml:space="preserve"> </w:t>
      </w:r>
      <w:r w:rsidRPr="00AA7B23">
        <w:rPr>
          <w:color w:val="000000"/>
          <w:lang w:val="lv-LV"/>
        </w:rPr>
        <w:t>– naudas ienākumi no algota darba; naudas izteiksmē pārrēķinātais darba ņēmēja natūrā gūtais ienākums, izmantojot firmas vai dienesta auto privātām vajadzībām; ienākumi vai zaudējumi, kas gūti no pašnodarbinātības; saņemtās pensijas un pabalsti; regulāra naudas palīdzība no citām mājsaimniecībām; peļņa no noguldījumu procentiem, dividendēm, akcijām; ienākumi, ko saņēmuši bērni līdz 16 gadiem; ienākumi no īpašuma izīrēšanas; saņemtā summa no Valsts ieņēmumu dienesta (VID) sakarā ar ienākuma nodokļa pārmaksu (par saimnieciskās darbības veikšanu, attaisnotajiem izdevumiem – izglītību, ārstniecību u.tml.).</w:t>
      </w:r>
    </w:p>
  </w:footnote>
  <w:footnote w:id="4">
    <w:p w:rsidR="003C7503" w:rsidRPr="00474D7E" w:rsidRDefault="003C7503" w:rsidP="00286E6D">
      <w:pPr>
        <w:pStyle w:val="FootnoteText"/>
        <w:rPr>
          <w:lang w:val="lv-LV"/>
        </w:rPr>
      </w:pPr>
      <w:r w:rsidRPr="00474D7E">
        <w:rPr>
          <w:rStyle w:val="FootnoteReference"/>
        </w:rPr>
        <w:footnoteRef/>
      </w:r>
      <w:r w:rsidRPr="00474D7E">
        <w:rPr>
          <w:lang w:val="lv-LV"/>
        </w:rPr>
        <w:t xml:space="preserve"> </w:t>
      </w:r>
      <w:proofErr w:type="spellStart"/>
      <w:r w:rsidRPr="00474D7E">
        <w:rPr>
          <w:b/>
          <w:bCs/>
          <w:color w:val="000000"/>
          <w:lang w:val="lv-LV"/>
        </w:rPr>
        <w:t>Kvintiļu</w:t>
      </w:r>
      <w:proofErr w:type="spellEnd"/>
      <w:r w:rsidRPr="00474D7E">
        <w:rPr>
          <w:b/>
          <w:bCs/>
          <w:color w:val="000000"/>
          <w:lang w:val="lv-LV"/>
        </w:rPr>
        <w:t xml:space="preserve"> grupa</w:t>
      </w:r>
      <w:r>
        <w:rPr>
          <w:b/>
          <w:bCs/>
          <w:color w:val="000000"/>
          <w:lang w:val="lv-LV"/>
        </w:rPr>
        <w:t xml:space="preserve"> </w:t>
      </w:r>
      <w:r w:rsidRPr="00AA7B23">
        <w:rPr>
          <w:color w:val="000000"/>
          <w:lang w:val="lv-LV"/>
        </w:rPr>
        <w:t>–</w:t>
      </w:r>
      <w:r>
        <w:rPr>
          <w:b/>
          <w:bCs/>
          <w:color w:val="000000"/>
          <w:lang w:val="lv-LV"/>
        </w:rPr>
        <w:t xml:space="preserve"> </w:t>
      </w:r>
      <w:r w:rsidRPr="00474D7E">
        <w:rPr>
          <w:color w:val="000000"/>
          <w:lang w:val="lv-LV"/>
        </w:rPr>
        <w:t xml:space="preserve">ir viena piektā daļa (20%) no apsekoto mājsaimniecību skaita, kuras sagrupētas pieaugošā secībā pēc to rīcībā esošā ienākuma uz vienu mājsaimniecības locekli. Zemākā (pirmā) </w:t>
      </w:r>
      <w:proofErr w:type="spellStart"/>
      <w:r w:rsidRPr="00474D7E">
        <w:rPr>
          <w:color w:val="000000"/>
          <w:lang w:val="lv-LV"/>
        </w:rPr>
        <w:t>kvintile</w:t>
      </w:r>
      <w:proofErr w:type="spellEnd"/>
      <w:r w:rsidRPr="00474D7E">
        <w:rPr>
          <w:color w:val="000000"/>
          <w:lang w:val="lv-LV"/>
        </w:rPr>
        <w:t xml:space="preserve"> ietver piekto daļu mājsaimniecību ar viszemākajiem ienākumiem, bet augstākā (piektā) – piektdaļu mājsaimniecību ar visaugstākajiem ienākumiem.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503" w:rsidRDefault="003C7503" w:rsidP="000153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7503" w:rsidRDefault="003C7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503" w:rsidRDefault="003C7503" w:rsidP="000153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269">
      <w:rPr>
        <w:rStyle w:val="PageNumber"/>
        <w:noProof/>
      </w:rPr>
      <w:t>16</w:t>
    </w:r>
    <w:r>
      <w:rPr>
        <w:rStyle w:val="PageNumber"/>
      </w:rPr>
      <w:fldChar w:fldCharType="end"/>
    </w:r>
  </w:p>
  <w:p w:rsidR="003C7503" w:rsidRDefault="003C75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1E4D"/>
    <w:multiLevelType w:val="hybridMultilevel"/>
    <w:tmpl w:val="CF442036"/>
    <w:lvl w:ilvl="0" w:tplc="04260011">
      <w:start w:val="1"/>
      <w:numFmt w:val="decimal"/>
      <w:lvlText w:val="%1)"/>
      <w:lvlJc w:val="left"/>
      <w:pPr>
        <w:tabs>
          <w:tab w:val="num" w:pos="1380"/>
        </w:tabs>
        <w:ind w:left="1380" w:hanging="360"/>
      </w:pPr>
    </w:lvl>
    <w:lvl w:ilvl="1" w:tplc="04260019" w:tentative="1">
      <w:start w:val="1"/>
      <w:numFmt w:val="lowerLetter"/>
      <w:lvlText w:val="%2."/>
      <w:lvlJc w:val="left"/>
      <w:pPr>
        <w:tabs>
          <w:tab w:val="num" w:pos="2100"/>
        </w:tabs>
        <w:ind w:left="2100" w:hanging="360"/>
      </w:pPr>
    </w:lvl>
    <w:lvl w:ilvl="2" w:tplc="0426001B" w:tentative="1">
      <w:start w:val="1"/>
      <w:numFmt w:val="lowerRoman"/>
      <w:lvlText w:val="%3."/>
      <w:lvlJc w:val="right"/>
      <w:pPr>
        <w:tabs>
          <w:tab w:val="num" w:pos="2820"/>
        </w:tabs>
        <w:ind w:left="2820" w:hanging="180"/>
      </w:pPr>
    </w:lvl>
    <w:lvl w:ilvl="3" w:tplc="0426000F" w:tentative="1">
      <w:start w:val="1"/>
      <w:numFmt w:val="decimal"/>
      <w:lvlText w:val="%4."/>
      <w:lvlJc w:val="left"/>
      <w:pPr>
        <w:tabs>
          <w:tab w:val="num" w:pos="3540"/>
        </w:tabs>
        <w:ind w:left="3540" w:hanging="360"/>
      </w:pPr>
    </w:lvl>
    <w:lvl w:ilvl="4" w:tplc="04260019" w:tentative="1">
      <w:start w:val="1"/>
      <w:numFmt w:val="lowerLetter"/>
      <w:lvlText w:val="%5."/>
      <w:lvlJc w:val="left"/>
      <w:pPr>
        <w:tabs>
          <w:tab w:val="num" w:pos="4260"/>
        </w:tabs>
        <w:ind w:left="4260" w:hanging="360"/>
      </w:pPr>
    </w:lvl>
    <w:lvl w:ilvl="5" w:tplc="0426001B" w:tentative="1">
      <w:start w:val="1"/>
      <w:numFmt w:val="lowerRoman"/>
      <w:lvlText w:val="%6."/>
      <w:lvlJc w:val="right"/>
      <w:pPr>
        <w:tabs>
          <w:tab w:val="num" w:pos="4980"/>
        </w:tabs>
        <w:ind w:left="4980" w:hanging="180"/>
      </w:pPr>
    </w:lvl>
    <w:lvl w:ilvl="6" w:tplc="0426000F" w:tentative="1">
      <w:start w:val="1"/>
      <w:numFmt w:val="decimal"/>
      <w:lvlText w:val="%7."/>
      <w:lvlJc w:val="left"/>
      <w:pPr>
        <w:tabs>
          <w:tab w:val="num" w:pos="5700"/>
        </w:tabs>
        <w:ind w:left="5700" w:hanging="360"/>
      </w:pPr>
    </w:lvl>
    <w:lvl w:ilvl="7" w:tplc="04260019" w:tentative="1">
      <w:start w:val="1"/>
      <w:numFmt w:val="lowerLetter"/>
      <w:lvlText w:val="%8."/>
      <w:lvlJc w:val="left"/>
      <w:pPr>
        <w:tabs>
          <w:tab w:val="num" w:pos="6420"/>
        </w:tabs>
        <w:ind w:left="6420" w:hanging="360"/>
      </w:pPr>
    </w:lvl>
    <w:lvl w:ilvl="8" w:tplc="0426001B" w:tentative="1">
      <w:start w:val="1"/>
      <w:numFmt w:val="lowerRoman"/>
      <w:lvlText w:val="%9."/>
      <w:lvlJc w:val="right"/>
      <w:pPr>
        <w:tabs>
          <w:tab w:val="num" w:pos="7140"/>
        </w:tabs>
        <w:ind w:left="7140" w:hanging="180"/>
      </w:pPr>
    </w:lvl>
  </w:abstractNum>
  <w:abstractNum w:abstractNumId="1">
    <w:nsid w:val="0ACB5195"/>
    <w:multiLevelType w:val="multilevel"/>
    <w:tmpl w:val="10DE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C70A1"/>
    <w:multiLevelType w:val="multilevel"/>
    <w:tmpl w:val="4D3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C76D8"/>
    <w:multiLevelType w:val="hybridMultilevel"/>
    <w:tmpl w:val="2F427CD6"/>
    <w:lvl w:ilvl="0" w:tplc="9EEE8D7C">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nsid w:val="12B56ECB"/>
    <w:multiLevelType w:val="hybridMultilevel"/>
    <w:tmpl w:val="7A4C4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48002FB"/>
    <w:multiLevelType w:val="multilevel"/>
    <w:tmpl w:val="21AA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F68B2"/>
    <w:multiLevelType w:val="hybridMultilevel"/>
    <w:tmpl w:val="A05EABE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29E57A9A"/>
    <w:multiLevelType w:val="hybridMultilevel"/>
    <w:tmpl w:val="5B08BCC6"/>
    <w:lvl w:ilvl="0" w:tplc="64487520">
      <w:start w:val="1"/>
      <w:numFmt w:val="bullet"/>
      <w:lvlText w:val=""/>
      <w:lvlJc w:val="left"/>
      <w:pPr>
        <w:tabs>
          <w:tab w:val="num" w:pos="2160"/>
        </w:tabs>
        <w:ind w:left="216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04260005">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8">
    <w:nsid w:val="2C213571"/>
    <w:multiLevelType w:val="hybridMultilevel"/>
    <w:tmpl w:val="C532C104"/>
    <w:lvl w:ilvl="0" w:tplc="6F9660B6">
      <w:numFmt w:val="bullet"/>
      <w:lvlText w:val="-"/>
      <w:lvlJc w:val="left"/>
      <w:pPr>
        <w:ind w:left="1240" w:hanging="360"/>
      </w:pPr>
      <w:rPr>
        <w:rFonts w:ascii="Times New Roman" w:eastAsia="Times New Roman" w:hAnsi="Times New Roman" w:cs="Times New Roman" w:hint="default"/>
      </w:rPr>
    </w:lvl>
    <w:lvl w:ilvl="1" w:tplc="04260003" w:tentative="1">
      <w:start w:val="1"/>
      <w:numFmt w:val="bullet"/>
      <w:lvlText w:val="o"/>
      <w:lvlJc w:val="left"/>
      <w:pPr>
        <w:ind w:left="1960" w:hanging="360"/>
      </w:pPr>
      <w:rPr>
        <w:rFonts w:ascii="Courier New" w:hAnsi="Courier New" w:cs="Courier New" w:hint="default"/>
      </w:rPr>
    </w:lvl>
    <w:lvl w:ilvl="2" w:tplc="04260005" w:tentative="1">
      <w:start w:val="1"/>
      <w:numFmt w:val="bullet"/>
      <w:lvlText w:val=""/>
      <w:lvlJc w:val="left"/>
      <w:pPr>
        <w:ind w:left="2680" w:hanging="360"/>
      </w:pPr>
      <w:rPr>
        <w:rFonts w:ascii="Wingdings" w:hAnsi="Wingdings" w:hint="default"/>
      </w:rPr>
    </w:lvl>
    <w:lvl w:ilvl="3" w:tplc="04260001" w:tentative="1">
      <w:start w:val="1"/>
      <w:numFmt w:val="bullet"/>
      <w:lvlText w:val=""/>
      <w:lvlJc w:val="left"/>
      <w:pPr>
        <w:ind w:left="3400" w:hanging="360"/>
      </w:pPr>
      <w:rPr>
        <w:rFonts w:ascii="Symbol" w:hAnsi="Symbol" w:hint="default"/>
      </w:rPr>
    </w:lvl>
    <w:lvl w:ilvl="4" w:tplc="04260003" w:tentative="1">
      <w:start w:val="1"/>
      <w:numFmt w:val="bullet"/>
      <w:lvlText w:val="o"/>
      <w:lvlJc w:val="left"/>
      <w:pPr>
        <w:ind w:left="4120" w:hanging="360"/>
      </w:pPr>
      <w:rPr>
        <w:rFonts w:ascii="Courier New" w:hAnsi="Courier New" w:cs="Courier New" w:hint="default"/>
      </w:rPr>
    </w:lvl>
    <w:lvl w:ilvl="5" w:tplc="04260005" w:tentative="1">
      <w:start w:val="1"/>
      <w:numFmt w:val="bullet"/>
      <w:lvlText w:val=""/>
      <w:lvlJc w:val="left"/>
      <w:pPr>
        <w:ind w:left="4840" w:hanging="360"/>
      </w:pPr>
      <w:rPr>
        <w:rFonts w:ascii="Wingdings" w:hAnsi="Wingdings" w:hint="default"/>
      </w:rPr>
    </w:lvl>
    <w:lvl w:ilvl="6" w:tplc="04260001" w:tentative="1">
      <w:start w:val="1"/>
      <w:numFmt w:val="bullet"/>
      <w:lvlText w:val=""/>
      <w:lvlJc w:val="left"/>
      <w:pPr>
        <w:ind w:left="5560" w:hanging="360"/>
      </w:pPr>
      <w:rPr>
        <w:rFonts w:ascii="Symbol" w:hAnsi="Symbol" w:hint="default"/>
      </w:rPr>
    </w:lvl>
    <w:lvl w:ilvl="7" w:tplc="04260003" w:tentative="1">
      <w:start w:val="1"/>
      <w:numFmt w:val="bullet"/>
      <w:lvlText w:val="o"/>
      <w:lvlJc w:val="left"/>
      <w:pPr>
        <w:ind w:left="6280" w:hanging="360"/>
      </w:pPr>
      <w:rPr>
        <w:rFonts w:ascii="Courier New" w:hAnsi="Courier New" w:cs="Courier New" w:hint="default"/>
      </w:rPr>
    </w:lvl>
    <w:lvl w:ilvl="8" w:tplc="04260005" w:tentative="1">
      <w:start w:val="1"/>
      <w:numFmt w:val="bullet"/>
      <w:lvlText w:val=""/>
      <w:lvlJc w:val="left"/>
      <w:pPr>
        <w:ind w:left="7000" w:hanging="360"/>
      </w:pPr>
      <w:rPr>
        <w:rFonts w:ascii="Wingdings" w:hAnsi="Wingdings" w:hint="default"/>
      </w:rPr>
    </w:lvl>
  </w:abstractNum>
  <w:abstractNum w:abstractNumId="9">
    <w:nsid w:val="2F4E771A"/>
    <w:multiLevelType w:val="hybridMultilevel"/>
    <w:tmpl w:val="52109C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4C77EE2"/>
    <w:multiLevelType w:val="hybridMultilevel"/>
    <w:tmpl w:val="EED8781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nsid w:val="37394295"/>
    <w:multiLevelType w:val="multilevel"/>
    <w:tmpl w:val="D308942A"/>
    <w:lvl w:ilvl="0">
      <w:start w:val="4"/>
      <w:numFmt w:val="decimal"/>
      <w:lvlText w:val="%1."/>
      <w:lvlJc w:val="left"/>
      <w:pPr>
        <w:ind w:left="540" w:hanging="540"/>
      </w:pPr>
      <w:rPr>
        <w:rFonts w:hint="default"/>
        <w:sz w:val="22"/>
      </w:rPr>
    </w:lvl>
    <w:lvl w:ilvl="1">
      <w:start w:val="1"/>
      <w:numFmt w:val="decimal"/>
      <w:lvlText w:val="%1.%2."/>
      <w:lvlJc w:val="left"/>
      <w:pPr>
        <w:ind w:left="769" w:hanging="540"/>
      </w:pPr>
      <w:rPr>
        <w:rFonts w:hint="default"/>
        <w:b/>
        <w:sz w:val="24"/>
        <w:szCs w:val="24"/>
      </w:rPr>
    </w:lvl>
    <w:lvl w:ilvl="2">
      <w:start w:val="1"/>
      <w:numFmt w:val="decimal"/>
      <w:lvlText w:val="%1.%2.%3."/>
      <w:lvlJc w:val="left"/>
      <w:pPr>
        <w:ind w:left="1288" w:hanging="720"/>
      </w:pPr>
      <w:rPr>
        <w:rFonts w:hint="default"/>
        <w:i w:val="0"/>
        <w:sz w:val="22"/>
      </w:rPr>
    </w:lvl>
    <w:lvl w:ilvl="3">
      <w:start w:val="1"/>
      <w:numFmt w:val="decimal"/>
      <w:lvlText w:val="%1.%2.%3.%4."/>
      <w:lvlJc w:val="left"/>
      <w:pPr>
        <w:ind w:left="1407" w:hanging="720"/>
      </w:pPr>
      <w:rPr>
        <w:rFonts w:hint="default"/>
        <w:sz w:val="22"/>
      </w:rPr>
    </w:lvl>
    <w:lvl w:ilvl="4">
      <w:start w:val="1"/>
      <w:numFmt w:val="decimal"/>
      <w:lvlText w:val="%1.%2.%3.%4.%5."/>
      <w:lvlJc w:val="left"/>
      <w:pPr>
        <w:ind w:left="1996" w:hanging="1080"/>
      </w:pPr>
      <w:rPr>
        <w:rFonts w:hint="default"/>
        <w:sz w:val="22"/>
      </w:rPr>
    </w:lvl>
    <w:lvl w:ilvl="5">
      <w:start w:val="1"/>
      <w:numFmt w:val="decimal"/>
      <w:lvlText w:val="%1.%2.%3.%4.%5.%6."/>
      <w:lvlJc w:val="left"/>
      <w:pPr>
        <w:ind w:left="2225" w:hanging="1080"/>
      </w:pPr>
      <w:rPr>
        <w:rFonts w:hint="default"/>
        <w:sz w:val="22"/>
      </w:rPr>
    </w:lvl>
    <w:lvl w:ilvl="6">
      <w:start w:val="1"/>
      <w:numFmt w:val="decimal"/>
      <w:lvlText w:val="%1.%2.%3.%4.%5.%6.%7."/>
      <w:lvlJc w:val="left"/>
      <w:pPr>
        <w:ind w:left="2814" w:hanging="1440"/>
      </w:pPr>
      <w:rPr>
        <w:rFonts w:hint="default"/>
        <w:sz w:val="22"/>
      </w:rPr>
    </w:lvl>
    <w:lvl w:ilvl="7">
      <w:start w:val="1"/>
      <w:numFmt w:val="decimal"/>
      <w:lvlText w:val="%1.%2.%3.%4.%5.%6.%7.%8."/>
      <w:lvlJc w:val="left"/>
      <w:pPr>
        <w:ind w:left="3043" w:hanging="1440"/>
      </w:pPr>
      <w:rPr>
        <w:rFonts w:hint="default"/>
        <w:sz w:val="22"/>
      </w:rPr>
    </w:lvl>
    <w:lvl w:ilvl="8">
      <w:start w:val="1"/>
      <w:numFmt w:val="decimal"/>
      <w:lvlText w:val="%1.%2.%3.%4.%5.%6.%7.%8.%9."/>
      <w:lvlJc w:val="left"/>
      <w:pPr>
        <w:ind w:left="3632" w:hanging="1800"/>
      </w:pPr>
      <w:rPr>
        <w:rFonts w:hint="default"/>
        <w:sz w:val="22"/>
      </w:rPr>
    </w:lvl>
  </w:abstractNum>
  <w:abstractNum w:abstractNumId="12">
    <w:nsid w:val="3A4B016E"/>
    <w:multiLevelType w:val="hybridMultilevel"/>
    <w:tmpl w:val="E620F3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3AE761E8"/>
    <w:multiLevelType w:val="hybridMultilevel"/>
    <w:tmpl w:val="2552445E"/>
    <w:lvl w:ilvl="0" w:tplc="5426C8C8">
      <w:start w:val="2"/>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nsid w:val="4A7D59B9"/>
    <w:multiLevelType w:val="hybridMultilevel"/>
    <w:tmpl w:val="825A1F5E"/>
    <w:lvl w:ilvl="0" w:tplc="1146FB5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nsid w:val="52844AA9"/>
    <w:multiLevelType w:val="hybridMultilevel"/>
    <w:tmpl w:val="D64230C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6">
    <w:nsid w:val="57256BB0"/>
    <w:multiLevelType w:val="hybridMultilevel"/>
    <w:tmpl w:val="248468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DCD1A5A"/>
    <w:multiLevelType w:val="hybridMultilevel"/>
    <w:tmpl w:val="F94A4CB4"/>
    <w:lvl w:ilvl="0" w:tplc="E9284184">
      <w:start w:val="4"/>
      <w:numFmt w:val="bullet"/>
      <w:lvlText w:val="-"/>
      <w:lvlJc w:val="left"/>
      <w:pPr>
        <w:ind w:left="1069" w:hanging="360"/>
      </w:pPr>
      <w:rPr>
        <w:rFonts w:ascii="Times New Roman" w:eastAsia="Times New Roman"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18">
    <w:nsid w:val="6F101106"/>
    <w:multiLevelType w:val="multilevel"/>
    <w:tmpl w:val="470CF0FE"/>
    <w:lvl w:ilvl="0">
      <w:start w:val="4"/>
      <w:numFmt w:val="decimal"/>
      <w:lvlText w:val="%1."/>
      <w:lvlJc w:val="left"/>
      <w:pPr>
        <w:ind w:left="540" w:hanging="540"/>
      </w:pPr>
      <w:rPr>
        <w:rFonts w:hint="default"/>
        <w:sz w:val="22"/>
      </w:rPr>
    </w:lvl>
    <w:lvl w:ilvl="1">
      <w:start w:val="1"/>
      <w:numFmt w:val="decimal"/>
      <w:lvlText w:val="%1.%2."/>
      <w:lvlJc w:val="left"/>
      <w:pPr>
        <w:ind w:left="769" w:hanging="540"/>
      </w:pPr>
      <w:rPr>
        <w:rFonts w:hint="default"/>
        <w:b/>
        <w:sz w:val="22"/>
      </w:rPr>
    </w:lvl>
    <w:lvl w:ilvl="2">
      <w:start w:val="1"/>
      <w:numFmt w:val="decimal"/>
      <w:lvlText w:val="%1.%2.%3."/>
      <w:lvlJc w:val="left"/>
      <w:pPr>
        <w:ind w:left="1178" w:hanging="720"/>
      </w:pPr>
      <w:rPr>
        <w:rFonts w:hint="default"/>
        <w:sz w:val="22"/>
      </w:rPr>
    </w:lvl>
    <w:lvl w:ilvl="3">
      <w:start w:val="1"/>
      <w:numFmt w:val="decimal"/>
      <w:lvlText w:val="%1.%2.%3.%4."/>
      <w:lvlJc w:val="left"/>
      <w:pPr>
        <w:ind w:left="1407" w:hanging="720"/>
      </w:pPr>
      <w:rPr>
        <w:rFonts w:hint="default"/>
        <w:sz w:val="22"/>
      </w:rPr>
    </w:lvl>
    <w:lvl w:ilvl="4">
      <w:start w:val="1"/>
      <w:numFmt w:val="decimal"/>
      <w:lvlText w:val="%1.%2.%3.%4.%5."/>
      <w:lvlJc w:val="left"/>
      <w:pPr>
        <w:ind w:left="1996" w:hanging="1080"/>
      </w:pPr>
      <w:rPr>
        <w:rFonts w:hint="default"/>
        <w:sz w:val="22"/>
      </w:rPr>
    </w:lvl>
    <w:lvl w:ilvl="5">
      <w:start w:val="1"/>
      <w:numFmt w:val="decimal"/>
      <w:lvlText w:val="%1.%2.%3.%4.%5.%6."/>
      <w:lvlJc w:val="left"/>
      <w:pPr>
        <w:ind w:left="2225" w:hanging="1080"/>
      </w:pPr>
      <w:rPr>
        <w:rFonts w:hint="default"/>
        <w:sz w:val="22"/>
      </w:rPr>
    </w:lvl>
    <w:lvl w:ilvl="6">
      <w:start w:val="1"/>
      <w:numFmt w:val="decimal"/>
      <w:lvlText w:val="%1.%2.%3.%4.%5.%6.%7."/>
      <w:lvlJc w:val="left"/>
      <w:pPr>
        <w:ind w:left="2814" w:hanging="1440"/>
      </w:pPr>
      <w:rPr>
        <w:rFonts w:hint="default"/>
        <w:sz w:val="22"/>
      </w:rPr>
    </w:lvl>
    <w:lvl w:ilvl="7">
      <w:start w:val="1"/>
      <w:numFmt w:val="decimal"/>
      <w:lvlText w:val="%1.%2.%3.%4.%5.%6.%7.%8."/>
      <w:lvlJc w:val="left"/>
      <w:pPr>
        <w:ind w:left="3043" w:hanging="1440"/>
      </w:pPr>
      <w:rPr>
        <w:rFonts w:hint="default"/>
        <w:sz w:val="22"/>
      </w:rPr>
    </w:lvl>
    <w:lvl w:ilvl="8">
      <w:start w:val="1"/>
      <w:numFmt w:val="decimal"/>
      <w:lvlText w:val="%1.%2.%3.%4.%5.%6.%7.%8.%9."/>
      <w:lvlJc w:val="left"/>
      <w:pPr>
        <w:ind w:left="3632" w:hanging="1800"/>
      </w:pPr>
      <w:rPr>
        <w:rFonts w:hint="default"/>
        <w:sz w:val="22"/>
      </w:rPr>
    </w:lvl>
  </w:abstractNum>
  <w:abstractNum w:abstractNumId="19">
    <w:nsid w:val="706F2003"/>
    <w:multiLevelType w:val="hybridMultilevel"/>
    <w:tmpl w:val="B344C30E"/>
    <w:lvl w:ilvl="0" w:tplc="93349F92">
      <w:start w:val="1"/>
      <w:numFmt w:val="decimal"/>
      <w:lvlText w:val="%1)"/>
      <w:lvlJc w:val="left"/>
      <w:pPr>
        <w:tabs>
          <w:tab w:val="num" w:pos="1080"/>
        </w:tabs>
        <w:ind w:left="1080" w:hanging="36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0">
    <w:nsid w:val="737759F8"/>
    <w:multiLevelType w:val="hybridMultilevel"/>
    <w:tmpl w:val="987C5A2A"/>
    <w:lvl w:ilvl="0" w:tplc="AD1C8C8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19"/>
  </w:num>
  <w:num w:numId="4">
    <w:abstractNumId w:val="13"/>
  </w:num>
  <w:num w:numId="5">
    <w:abstractNumId w:val="20"/>
  </w:num>
  <w:num w:numId="6">
    <w:abstractNumId w:val="14"/>
  </w:num>
  <w:num w:numId="7">
    <w:abstractNumId w:val="12"/>
  </w:num>
  <w:num w:numId="8">
    <w:abstractNumId w:val="3"/>
  </w:num>
  <w:num w:numId="9">
    <w:abstractNumId w:val="16"/>
  </w:num>
  <w:num w:numId="10">
    <w:abstractNumId w:val="6"/>
  </w:num>
  <w:num w:numId="11">
    <w:abstractNumId w:val="9"/>
  </w:num>
  <w:num w:numId="12">
    <w:abstractNumId w:val="17"/>
  </w:num>
  <w:num w:numId="13">
    <w:abstractNumId w:val="18"/>
  </w:num>
  <w:num w:numId="14">
    <w:abstractNumId w:val="2"/>
  </w:num>
  <w:num w:numId="15">
    <w:abstractNumId w:val="1"/>
  </w:num>
  <w:num w:numId="16">
    <w:abstractNumId w:val="5"/>
  </w:num>
  <w:num w:numId="17">
    <w:abstractNumId w:val="10"/>
  </w:num>
  <w:num w:numId="18">
    <w:abstractNumId w:val="4"/>
  </w:num>
  <w:num w:numId="19">
    <w:abstractNumId w:val="15"/>
  </w:num>
  <w:num w:numId="20">
    <w:abstractNumId w:val="8"/>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a Vaļģe">
    <w15:presenceInfo w15:providerId="None" w15:userId="Inna Vaļģe"/>
  </w15:person>
  <w15:person w15:author="Solvita Frišenfelde">
    <w15:presenceInfo w15:providerId="None" w15:userId="Solvita Frišenfel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DD"/>
    <w:rsid w:val="000008E5"/>
    <w:rsid w:val="00001DCE"/>
    <w:rsid w:val="00003C52"/>
    <w:rsid w:val="00004C91"/>
    <w:rsid w:val="00004EE1"/>
    <w:rsid w:val="000050B7"/>
    <w:rsid w:val="000053AD"/>
    <w:rsid w:val="00006D5C"/>
    <w:rsid w:val="00007D55"/>
    <w:rsid w:val="000103F6"/>
    <w:rsid w:val="000112C9"/>
    <w:rsid w:val="0001137A"/>
    <w:rsid w:val="000116C9"/>
    <w:rsid w:val="0001246E"/>
    <w:rsid w:val="00012F92"/>
    <w:rsid w:val="0001347B"/>
    <w:rsid w:val="00013D9E"/>
    <w:rsid w:val="000142A8"/>
    <w:rsid w:val="0001537E"/>
    <w:rsid w:val="000153D4"/>
    <w:rsid w:val="00015E45"/>
    <w:rsid w:val="00016827"/>
    <w:rsid w:val="000170E6"/>
    <w:rsid w:val="00020259"/>
    <w:rsid w:val="00020406"/>
    <w:rsid w:val="000206DA"/>
    <w:rsid w:val="00020B15"/>
    <w:rsid w:val="00020D5F"/>
    <w:rsid w:val="00022AC0"/>
    <w:rsid w:val="00023E31"/>
    <w:rsid w:val="000241AC"/>
    <w:rsid w:val="000251C6"/>
    <w:rsid w:val="000270AA"/>
    <w:rsid w:val="00027922"/>
    <w:rsid w:val="00027CB0"/>
    <w:rsid w:val="00027E53"/>
    <w:rsid w:val="00030C38"/>
    <w:rsid w:val="00033E14"/>
    <w:rsid w:val="00034820"/>
    <w:rsid w:val="000372AF"/>
    <w:rsid w:val="00040E2D"/>
    <w:rsid w:val="00042779"/>
    <w:rsid w:val="00043A8E"/>
    <w:rsid w:val="00044600"/>
    <w:rsid w:val="00044876"/>
    <w:rsid w:val="00044DAA"/>
    <w:rsid w:val="00046C88"/>
    <w:rsid w:val="00046F76"/>
    <w:rsid w:val="00050263"/>
    <w:rsid w:val="00052A47"/>
    <w:rsid w:val="00053AF9"/>
    <w:rsid w:val="0005427E"/>
    <w:rsid w:val="000545F3"/>
    <w:rsid w:val="00055B4B"/>
    <w:rsid w:val="00055DF9"/>
    <w:rsid w:val="0005632C"/>
    <w:rsid w:val="000566B8"/>
    <w:rsid w:val="000570FF"/>
    <w:rsid w:val="000573F1"/>
    <w:rsid w:val="00057916"/>
    <w:rsid w:val="00057E19"/>
    <w:rsid w:val="00057E3D"/>
    <w:rsid w:val="0006095B"/>
    <w:rsid w:val="00060E0D"/>
    <w:rsid w:val="000617A1"/>
    <w:rsid w:val="00061849"/>
    <w:rsid w:val="000631CE"/>
    <w:rsid w:val="00064B4A"/>
    <w:rsid w:val="00065C82"/>
    <w:rsid w:val="00066AB0"/>
    <w:rsid w:val="000702D2"/>
    <w:rsid w:val="000716D2"/>
    <w:rsid w:val="00071A4F"/>
    <w:rsid w:val="00071C21"/>
    <w:rsid w:val="00071E5B"/>
    <w:rsid w:val="0007213A"/>
    <w:rsid w:val="00072200"/>
    <w:rsid w:val="0007280C"/>
    <w:rsid w:val="00072C7B"/>
    <w:rsid w:val="00073999"/>
    <w:rsid w:val="00074219"/>
    <w:rsid w:val="0007447C"/>
    <w:rsid w:val="00075ADD"/>
    <w:rsid w:val="000818F5"/>
    <w:rsid w:val="00081A08"/>
    <w:rsid w:val="00081C98"/>
    <w:rsid w:val="0008206F"/>
    <w:rsid w:val="00082A02"/>
    <w:rsid w:val="00082B2C"/>
    <w:rsid w:val="00083872"/>
    <w:rsid w:val="00084B73"/>
    <w:rsid w:val="000853A6"/>
    <w:rsid w:val="00086B10"/>
    <w:rsid w:val="000875FD"/>
    <w:rsid w:val="0009050D"/>
    <w:rsid w:val="00091945"/>
    <w:rsid w:val="000924B4"/>
    <w:rsid w:val="00092CDE"/>
    <w:rsid w:val="000945BC"/>
    <w:rsid w:val="00094EA3"/>
    <w:rsid w:val="00095FBB"/>
    <w:rsid w:val="00096180"/>
    <w:rsid w:val="00096CFF"/>
    <w:rsid w:val="00097076"/>
    <w:rsid w:val="00097E27"/>
    <w:rsid w:val="000A10A6"/>
    <w:rsid w:val="000A11D8"/>
    <w:rsid w:val="000A1AF2"/>
    <w:rsid w:val="000A2067"/>
    <w:rsid w:val="000A23D0"/>
    <w:rsid w:val="000A33E1"/>
    <w:rsid w:val="000A585D"/>
    <w:rsid w:val="000A642A"/>
    <w:rsid w:val="000A74AD"/>
    <w:rsid w:val="000B04D1"/>
    <w:rsid w:val="000B0716"/>
    <w:rsid w:val="000B12C2"/>
    <w:rsid w:val="000B1763"/>
    <w:rsid w:val="000B19B3"/>
    <w:rsid w:val="000B1E97"/>
    <w:rsid w:val="000B2CDD"/>
    <w:rsid w:val="000B3E44"/>
    <w:rsid w:val="000B43AA"/>
    <w:rsid w:val="000B44F7"/>
    <w:rsid w:val="000B651C"/>
    <w:rsid w:val="000B6675"/>
    <w:rsid w:val="000B6AD2"/>
    <w:rsid w:val="000B6E6C"/>
    <w:rsid w:val="000B7CCA"/>
    <w:rsid w:val="000C047D"/>
    <w:rsid w:val="000C16ED"/>
    <w:rsid w:val="000C1FA6"/>
    <w:rsid w:val="000C2D35"/>
    <w:rsid w:val="000C3437"/>
    <w:rsid w:val="000C439F"/>
    <w:rsid w:val="000C516E"/>
    <w:rsid w:val="000D011E"/>
    <w:rsid w:val="000D06B5"/>
    <w:rsid w:val="000D0818"/>
    <w:rsid w:val="000D0CAC"/>
    <w:rsid w:val="000D1515"/>
    <w:rsid w:val="000D17E9"/>
    <w:rsid w:val="000D2CF4"/>
    <w:rsid w:val="000D379A"/>
    <w:rsid w:val="000D3F2D"/>
    <w:rsid w:val="000D52A1"/>
    <w:rsid w:val="000D5B66"/>
    <w:rsid w:val="000D5F6A"/>
    <w:rsid w:val="000D6030"/>
    <w:rsid w:val="000D683F"/>
    <w:rsid w:val="000D6B69"/>
    <w:rsid w:val="000D6DE0"/>
    <w:rsid w:val="000D6E55"/>
    <w:rsid w:val="000D7995"/>
    <w:rsid w:val="000E0DAC"/>
    <w:rsid w:val="000E28B4"/>
    <w:rsid w:val="000E2B75"/>
    <w:rsid w:val="000E3B42"/>
    <w:rsid w:val="000E48A8"/>
    <w:rsid w:val="000E4FF1"/>
    <w:rsid w:val="000E5B44"/>
    <w:rsid w:val="000E63ED"/>
    <w:rsid w:val="000F2731"/>
    <w:rsid w:val="000F3D1E"/>
    <w:rsid w:val="000F4470"/>
    <w:rsid w:val="000F4EA2"/>
    <w:rsid w:val="000F530F"/>
    <w:rsid w:val="000F5969"/>
    <w:rsid w:val="000F6326"/>
    <w:rsid w:val="000F6A0A"/>
    <w:rsid w:val="000F6D68"/>
    <w:rsid w:val="001012CD"/>
    <w:rsid w:val="00102035"/>
    <w:rsid w:val="00102190"/>
    <w:rsid w:val="00102ACB"/>
    <w:rsid w:val="001034D3"/>
    <w:rsid w:val="001040CA"/>
    <w:rsid w:val="00107289"/>
    <w:rsid w:val="00107367"/>
    <w:rsid w:val="001105CC"/>
    <w:rsid w:val="00110E41"/>
    <w:rsid w:val="001114C6"/>
    <w:rsid w:val="00112105"/>
    <w:rsid w:val="00113121"/>
    <w:rsid w:val="001134A1"/>
    <w:rsid w:val="00115FCB"/>
    <w:rsid w:val="001177C1"/>
    <w:rsid w:val="00117E36"/>
    <w:rsid w:val="00117EAB"/>
    <w:rsid w:val="00120819"/>
    <w:rsid w:val="001214C0"/>
    <w:rsid w:val="001215C7"/>
    <w:rsid w:val="00121B32"/>
    <w:rsid w:val="00123913"/>
    <w:rsid w:val="00124B54"/>
    <w:rsid w:val="001266F8"/>
    <w:rsid w:val="00127F21"/>
    <w:rsid w:val="0013173E"/>
    <w:rsid w:val="00131A42"/>
    <w:rsid w:val="00131D53"/>
    <w:rsid w:val="00132B83"/>
    <w:rsid w:val="0013493A"/>
    <w:rsid w:val="00134A3B"/>
    <w:rsid w:val="00134C45"/>
    <w:rsid w:val="00135568"/>
    <w:rsid w:val="00135842"/>
    <w:rsid w:val="00135BE8"/>
    <w:rsid w:val="00136B20"/>
    <w:rsid w:val="001372C7"/>
    <w:rsid w:val="0014253A"/>
    <w:rsid w:val="0014260E"/>
    <w:rsid w:val="00144385"/>
    <w:rsid w:val="00144780"/>
    <w:rsid w:val="00144BDE"/>
    <w:rsid w:val="001452B5"/>
    <w:rsid w:val="001467BC"/>
    <w:rsid w:val="00146F92"/>
    <w:rsid w:val="00147177"/>
    <w:rsid w:val="0015091A"/>
    <w:rsid w:val="001522D4"/>
    <w:rsid w:val="0015253F"/>
    <w:rsid w:val="00152DA1"/>
    <w:rsid w:val="0015517E"/>
    <w:rsid w:val="00155D35"/>
    <w:rsid w:val="001565C1"/>
    <w:rsid w:val="00156FD5"/>
    <w:rsid w:val="001575F2"/>
    <w:rsid w:val="00157AEB"/>
    <w:rsid w:val="00161993"/>
    <w:rsid w:val="001647F2"/>
    <w:rsid w:val="001662A4"/>
    <w:rsid w:val="001715B8"/>
    <w:rsid w:val="00171B82"/>
    <w:rsid w:val="00171DB1"/>
    <w:rsid w:val="00172685"/>
    <w:rsid w:val="00173FAE"/>
    <w:rsid w:val="001748E5"/>
    <w:rsid w:val="00174A1B"/>
    <w:rsid w:val="00174A85"/>
    <w:rsid w:val="00174B39"/>
    <w:rsid w:val="00174B48"/>
    <w:rsid w:val="00174D3F"/>
    <w:rsid w:val="001750F8"/>
    <w:rsid w:val="001758C1"/>
    <w:rsid w:val="0017799A"/>
    <w:rsid w:val="00181F97"/>
    <w:rsid w:val="00182251"/>
    <w:rsid w:val="001822DC"/>
    <w:rsid w:val="00183D1D"/>
    <w:rsid w:val="0018470B"/>
    <w:rsid w:val="00184AD8"/>
    <w:rsid w:val="001857C2"/>
    <w:rsid w:val="00186453"/>
    <w:rsid w:val="001864BE"/>
    <w:rsid w:val="001866D6"/>
    <w:rsid w:val="00186885"/>
    <w:rsid w:val="00187F6E"/>
    <w:rsid w:val="00191041"/>
    <w:rsid w:val="001911C4"/>
    <w:rsid w:val="0019148B"/>
    <w:rsid w:val="00192162"/>
    <w:rsid w:val="00193931"/>
    <w:rsid w:val="00195415"/>
    <w:rsid w:val="001955ED"/>
    <w:rsid w:val="00195688"/>
    <w:rsid w:val="0019604C"/>
    <w:rsid w:val="00197647"/>
    <w:rsid w:val="00197F21"/>
    <w:rsid w:val="001A0876"/>
    <w:rsid w:val="001A23B3"/>
    <w:rsid w:val="001A29A0"/>
    <w:rsid w:val="001A3F47"/>
    <w:rsid w:val="001A4E1F"/>
    <w:rsid w:val="001A4E76"/>
    <w:rsid w:val="001A4E9A"/>
    <w:rsid w:val="001A656A"/>
    <w:rsid w:val="001A70EC"/>
    <w:rsid w:val="001A71DB"/>
    <w:rsid w:val="001B02B0"/>
    <w:rsid w:val="001B1CF0"/>
    <w:rsid w:val="001B3FD6"/>
    <w:rsid w:val="001B5B8A"/>
    <w:rsid w:val="001B60D5"/>
    <w:rsid w:val="001C02D0"/>
    <w:rsid w:val="001C04D8"/>
    <w:rsid w:val="001C050C"/>
    <w:rsid w:val="001C055C"/>
    <w:rsid w:val="001C195D"/>
    <w:rsid w:val="001C2296"/>
    <w:rsid w:val="001C2A04"/>
    <w:rsid w:val="001C3846"/>
    <w:rsid w:val="001C390F"/>
    <w:rsid w:val="001C3C39"/>
    <w:rsid w:val="001C4368"/>
    <w:rsid w:val="001C4577"/>
    <w:rsid w:val="001C5ABD"/>
    <w:rsid w:val="001C6502"/>
    <w:rsid w:val="001C7433"/>
    <w:rsid w:val="001C7841"/>
    <w:rsid w:val="001C7942"/>
    <w:rsid w:val="001D06E2"/>
    <w:rsid w:val="001D07AC"/>
    <w:rsid w:val="001D11D4"/>
    <w:rsid w:val="001D182D"/>
    <w:rsid w:val="001D18CF"/>
    <w:rsid w:val="001D1ABF"/>
    <w:rsid w:val="001D1D2C"/>
    <w:rsid w:val="001D2215"/>
    <w:rsid w:val="001D3500"/>
    <w:rsid w:val="001D5495"/>
    <w:rsid w:val="001D705E"/>
    <w:rsid w:val="001D70D7"/>
    <w:rsid w:val="001E13AE"/>
    <w:rsid w:val="001E46B1"/>
    <w:rsid w:val="001E6103"/>
    <w:rsid w:val="001E6D78"/>
    <w:rsid w:val="001E6DC2"/>
    <w:rsid w:val="001E6E78"/>
    <w:rsid w:val="001E7CD9"/>
    <w:rsid w:val="001F159D"/>
    <w:rsid w:val="001F1A48"/>
    <w:rsid w:val="001F3461"/>
    <w:rsid w:val="001F7658"/>
    <w:rsid w:val="001F7A1E"/>
    <w:rsid w:val="002009E6"/>
    <w:rsid w:val="0020118F"/>
    <w:rsid w:val="0020188A"/>
    <w:rsid w:val="00201919"/>
    <w:rsid w:val="00201E3D"/>
    <w:rsid w:val="0020235B"/>
    <w:rsid w:val="002023A2"/>
    <w:rsid w:val="002024D6"/>
    <w:rsid w:val="00203A7D"/>
    <w:rsid w:val="00203C02"/>
    <w:rsid w:val="00204FA4"/>
    <w:rsid w:val="00205140"/>
    <w:rsid w:val="00205342"/>
    <w:rsid w:val="002065C7"/>
    <w:rsid w:val="00207647"/>
    <w:rsid w:val="00207E4E"/>
    <w:rsid w:val="002110ED"/>
    <w:rsid w:val="002111A8"/>
    <w:rsid w:val="00211836"/>
    <w:rsid w:val="00211936"/>
    <w:rsid w:val="002126C6"/>
    <w:rsid w:val="00213477"/>
    <w:rsid w:val="0021399A"/>
    <w:rsid w:val="00213B3E"/>
    <w:rsid w:val="00213E6B"/>
    <w:rsid w:val="00215C56"/>
    <w:rsid w:val="0021637B"/>
    <w:rsid w:val="00216446"/>
    <w:rsid w:val="0021678A"/>
    <w:rsid w:val="00216B78"/>
    <w:rsid w:val="002172A5"/>
    <w:rsid w:val="00217AD4"/>
    <w:rsid w:val="00220119"/>
    <w:rsid w:val="00220F39"/>
    <w:rsid w:val="00221590"/>
    <w:rsid w:val="00222770"/>
    <w:rsid w:val="002235A8"/>
    <w:rsid w:val="002236DE"/>
    <w:rsid w:val="00223B60"/>
    <w:rsid w:val="00224176"/>
    <w:rsid w:val="00225295"/>
    <w:rsid w:val="0022651B"/>
    <w:rsid w:val="00226A71"/>
    <w:rsid w:val="002271ED"/>
    <w:rsid w:val="002274E9"/>
    <w:rsid w:val="00231BC7"/>
    <w:rsid w:val="00231BC8"/>
    <w:rsid w:val="00233C6B"/>
    <w:rsid w:val="00235583"/>
    <w:rsid w:val="00235DA5"/>
    <w:rsid w:val="002363C9"/>
    <w:rsid w:val="0023679F"/>
    <w:rsid w:val="00240259"/>
    <w:rsid w:val="00240985"/>
    <w:rsid w:val="00240AB5"/>
    <w:rsid w:val="002445C2"/>
    <w:rsid w:val="002459DC"/>
    <w:rsid w:val="00246790"/>
    <w:rsid w:val="00247742"/>
    <w:rsid w:val="00251A2C"/>
    <w:rsid w:val="00252A9C"/>
    <w:rsid w:val="002536FF"/>
    <w:rsid w:val="00253CDF"/>
    <w:rsid w:val="00255295"/>
    <w:rsid w:val="00255975"/>
    <w:rsid w:val="002565DE"/>
    <w:rsid w:val="00257B80"/>
    <w:rsid w:val="00257D3D"/>
    <w:rsid w:val="00260041"/>
    <w:rsid w:val="00260117"/>
    <w:rsid w:val="00261047"/>
    <w:rsid w:val="00261071"/>
    <w:rsid w:val="00261CFC"/>
    <w:rsid w:val="00261F5F"/>
    <w:rsid w:val="00262B37"/>
    <w:rsid w:val="0026332C"/>
    <w:rsid w:val="002633DF"/>
    <w:rsid w:val="0026396D"/>
    <w:rsid w:val="00263C3D"/>
    <w:rsid w:val="00263D14"/>
    <w:rsid w:val="00265B46"/>
    <w:rsid w:val="0026726C"/>
    <w:rsid w:val="00267559"/>
    <w:rsid w:val="0027082A"/>
    <w:rsid w:val="00271D3F"/>
    <w:rsid w:val="00271DE5"/>
    <w:rsid w:val="00272F8C"/>
    <w:rsid w:val="0027375A"/>
    <w:rsid w:val="00276058"/>
    <w:rsid w:val="00276FC8"/>
    <w:rsid w:val="00277209"/>
    <w:rsid w:val="00277D67"/>
    <w:rsid w:val="002800D0"/>
    <w:rsid w:val="00282406"/>
    <w:rsid w:val="002843BE"/>
    <w:rsid w:val="00286E6D"/>
    <w:rsid w:val="00287F74"/>
    <w:rsid w:val="00290ACE"/>
    <w:rsid w:val="00291CBB"/>
    <w:rsid w:val="002923F5"/>
    <w:rsid w:val="00292F79"/>
    <w:rsid w:val="00295549"/>
    <w:rsid w:val="00295B84"/>
    <w:rsid w:val="00295D68"/>
    <w:rsid w:val="00295E99"/>
    <w:rsid w:val="002962E5"/>
    <w:rsid w:val="00296912"/>
    <w:rsid w:val="00296EB4"/>
    <w:rsid w:val="002A1070"/>
    <w:rsid w:val="002A1530"/>
    <w:rsid w:val="002A16E2"/>
    <w:rsid w:val="002A26D6"/>
    <w:rsid w:val="002A283A"/>
    <w:rsid w:val="002A655A"/>
    <w:rsid w:val="002A75A0"/>
    <w:rsid w:val="002A7A21"/>
    <w:rsid w:val="002A7AB7"/>
    <w:rsid w:val="002A7D7D"/>
    <w:rsid w:val="002B0207"/>
    <w:rsid w:val="002B168B"/>
    <w:rsid w:val="002B1C97"/>
    <w:rsid w:val="002B2871"/>
    <w:rsid w:val="002B2E60"/>
    <w:rsid w:val="002B308B"/>
    <w:rsid w:val="002B3AE6"/>
    <w:rsid w:val="002B4184"/>
    <w:rsid w:val="002B5C35"/>
    <w:rsid w:val="002B60C7"/>
    <w:rsid w:val="002B7195"/>
    <w:rsid w:val="002B7481"/>
    <w:rsid w:val="002B7F18"/>
    <w:rsid w:val="002C0380"/>
    <w:rsid w:val="002C1B11"/>
    <w:rsid w:val="002C31C9"/>
    <w:rsid w:val="002C41C1"/>
    <w:rsid w:val="002C5489"/>
    <w:rsid w:val="002C5E68"/>
    <w:rsid w:val="002C6476"/>
    <w:rsid w:val="002C6735"/>
    <w:rsid w:val="002C7F1F"/>
    <w:rsid w:val="002D1E34"/>
    <w:rsid w:val="002D1F03"/>
    <w:rsid w:val="002D29D8"/>
    <w:rsid w:val="002D539A"/>
    <w:rsid w:val="002D5410"/>
    <w:rsid w:val="002D58F6"/>
    <w:rsid w:val="002E00FC"/>
    <w:rsid w:val="002E0403"/>
    <w:rsid w:val="002E0A87"/>
    <w:rsid w:val="002E0CB8"/>
    <w:rsid w:val="002E2870"/>
    <w:rsid w:val="002E2AA7"/>
    <w:rsid w:val="002E3AF4"/>
    <w:rsid w:val="002E4050"/>
    <w:rsid w:val="002E53E6"/>
    <w:rsid w:val="002E6AB8"/>
    <w:rsid w:val="002E6C3D"/>
    <w:rsid w:val="002E6F64"/>
    <w:rsid w:val="002E7B4B"/>
    <w:rsid w:val="002E7C53"/>
    <w:rsid w:val="002F1378"/>
    <w:rsid w:val="002F1D0B"/>
    <w:rsid w:val="002F2918"/>
    <w:rsid w:val="002F78AA"/>
    <w:rsid w:val="003027B2"/>
    <w:rsid w:val="0030331A"/>
    <w:rsid w:val="0030437E"/>
    <w:rsid w:val="00304B21"/>
    <w:rsid w:val="003052E7"/>
    <w:rsid w:val="00310537"/>
    <w:rsid w:val="00310B4A"/>
    <w:rsid w:val="00312751"/>
    <w:rsid w:val="00312E22"/>
    <w:rsid w:val="00313172"/>
    <w:rsid w:val="00315250"/>
    <w:rsid w:val="00315726"/>
    <w:rsid w:val="00317A73"/>
    <w:rsid w:val="003209BF"/>
    <w:rsid w:val="00322319"/>
    <w:rsid w:val="00323370"/>
    <w:rsid w:val="003238CF"/>
    <w:rsid w:val="00323EA8"/>
    <w:rsid w:val="003249F3"/>
    <w:rsid w:val="00324AC6"/>
    <w:rsid w:val="003275B9"/>
    <w:rsid w:val="00327B42"/>
    <w:rsid w:val="003300C8"/>
    <w:rsid w:val="00330283"/>
    <w:rsid w:val="0033110D"/>
    <w:rsid w:val="00332CDC"/>
    <w:rsid w:val="00333813"/>
    <w:rsid w:val="00335207"/>
    <w:rsid w:val="00335FDD"/>
    <w:rsid w:val="0033711B"/>
    <w:rsid w:val="00337C69"/>
    <w:rsid w:val="00337F8D"/>
    <w:rsid w:val="003403FD"/>
    <w:rsid w:val="003404C9"/>
    <w:rsid w:val="00340DEB"/>
    <w:rsid w:val="003431AB"/>
    <w:rsid w:val="00343D58"/>
    <w:rsid w:val="00344D8D"/>
    <w:rsid w:val="00345C7B"/>
    <w:rsid w:val="00346316"/>
    <w:rsid w:val="00346715"/>
    <w:rsid w:val="00346AE4"/>
    <w:rsid w:val="00351515"/>
    <w:rsid w:val="00352019"/>
    <w:rsid w:val="00352095"/>
    <w:rsid w:val="0035379F"/>
    <w:rsid w:val="003537DB"/>
    <w:rsid w:val="00353F4C"/>
    <w:rsid w:val="0035475B"/>
    <w:rsid w:val="00355197"/>
    <w:rsid w:val="00357567"/>
    <w:rsid w:val="003576D6"/>
    <w:rsid w:val="00357AFA"/>
    <w:rsid w:val="00360300"/>
    <w:rsid w:val="00361FA4"/>
    <w:rsid w:val="00363D53"/>
    <w:rsid w:val="00365202"/>
    <w:rsid w:val="00366130"/>
    <w:rsid w:val="003664E5"/>
    <w:rsid w:val="003677A7"/>
    <w:rsid w:val="003707FF"/>
    <w:rsid w:val="00371C37"/>
    <w:rsid w:val="00372442"/>
    <w:rsid w:val="0037264E"/>
    <w:rsid w:val="00372DB2"/>
    <w:rsid w:val="00372DD7"/>
    <w:rsid w:val="00373062"/>
    <w:rsid w:val="0037314E"/>
    <w:rsid w:val="003731FE"/>
    <w:rsid w:val="00373D2E"/>
    <w:rsid w:val="0037582E"/>
    <w:rsid w:val="00376C00"/>
    <w:rsid w:val="00377408"/>
    <w:rsid w:val="00377CAB"/>
    <w:rsid w:val="00377FD7"/>
    <w:rsid w:val="00381ED1"/>
    <w:rsid w:val="003820CB"/>
    <w:rsid w:val="003824A4"/>
    <w:rsid w:val="00383793"/>
    <w:rsid w:val="003837E9"/>
    <w:rsid w:val="00384A43"/>
    <w:rsid w:val="00386220"/>
    <w:rsid w:val="003868B0"/>
    <w:rsid w:val="003874E4"/>
    <w:rsid w:val="0038789C"/>
    <w:rsid w:val="0039303C"/>
    <w:rsid w:val="00393624"/>
    <w:rsid w:val="00393B46"/>
    <w:rsid w:val="00394414"/>
    <w:rsid w:val="00394D1C"/>
    <w:rsid w:val="00395BCC"/>
    <w:rsid w:val="003A0AFC"/>
    <w:rsid w:val="003A0CD6"/>
    <w:rsid w:val="003A153D"/>
    <w:rsid w:val="003A2899"/>
    <w:rsid w:val="003A2C5C"/>
    <w:rsid w:val="003A3CCB"/>
    <w:rsid w:val="003A41C0"/>
    <w:rsid w:val="003A4E36"/>
    <w:rsid w:val="003A6059"/>
    <w:rsid w:val="003A696D"/>
    <w:rsid w:val="003A7860"/>
    <w:rsid w:val="003A7D58"/>
    <w:rsid w:val="003B0F6E"/>
    <w:rsid w:val="003B11AE"/>
    <w:rsid w:val="003B1AE2"/>
    <w:rsid w:val="003B662E"/>
    <w:rsid w:val="003B670B"/>
    <w:rsid w:val="003B6A50"/>
    <w:rsid w:val="003C03F2"/>
    <w:rsid w:val="003C04C1"/>
    <w:rsid w:val="003C1271"/>
    <w:rsid w:val="003C1CF8"/>
    <w:rsid w:val="003C272A"/>
    <w:rsid w:val="003C435D"/>
    <w:rsid w:val="003C47F7"/>
    <w:rsid w:val="003C4B36"/>
    <w:rsid w:val="003C51CB"/>
    <w:rsid w:val="003C5F49"/>
    <w:rsid w:val="003C61FC"/>
    <w:rsid w:val="003C628D"/>
    <w:rsid w:val="003C6F0D"/>
    <w:rsid w:val="003C7155"/>
    <w:rsid w:val="003C727B"/>
    <w:rsid w:val="003C7503"/>
    <w:rsid w:val="003C7576"/>
    <w:rsid w:val="003C77DC"/>
    <w:rsid w:val="003D12BB"/>
    <w:rsid w:val="003D13E1"/>
    <w:rsid w:val="003D19F0"/>
    <w:rsid w:val="003D70C7"/>
    <w:rsid w:val="003E0185"/>
    <w:rsid w:val="003E12D6"/>
    <w:rsid w:val="003E1436"/>
    <w:rsid w:val="003E27B2"/>
    <w:rsid w:val="003E3D46"/>
    <w:rsid w:val="003E4522"/>
    <w:rsid w:val="003E503E"/>
    <w:rsid w:val="003E736D"/>
    <w:rsid w:val="003E7FF1"/>
    <w:rsid w:val="003F06CB"/>
    <w:rsid w:val="003F1A9C"/>
    <w:rsid w:val="003F49F3"/>
    <w:rsid w:val="003F5E34"/>
    <w:rsid w:val="003F7838"/>
    <w:rsid w:val="004004BA"/>
    <w:rsid w:val="00400709"/>
    <w:rsid w:val="00403834"/>
    <w:rsid w:val="00404C46"/>
    <w:rsid w:val="00405A3E"/>
    <w:rsid w:val="0040646B"/>
    <w:rsid w:val="004064D7"/>
    <w:rsid w:val="00406AED"/>
    <w:rsid w:val="00410DB4"/>
    <w:rsid w:val="004117EB"/>
    <w:rsid w:val="00413D6C"/>
    <w:rsid w:val="00413F73"/>
    <w:rsid w:val="00415416"/>
    <w:rsid w:val="00416EB7"/>
    <w:rsid w:val="0042028B"/>
    <w:rsid w:val="004205CC"/>
    <w:rsid w:val="00423238"/>
    <w:rsid w:val="00423543"/>
    <w:rsid w:val="004238B7"/>
    <w:rsid w:val="004239FF"/>
    <w:rsid w:val="00423BAD"/>
    <w:rsid w:val="00424823"/>
    <w:rsid w:val="00424D1B"/>
    <w:rsid w:val="0042526D"/>
    <w:rsid w:val="0042551B"/>
    <w:rsid w:val="004259FD"/>
    <w:rsid w:val="004261E4"/>
    <w:rsid w:val="0042717E"/>
    <w:rsid w:val="004315F4"/>
    <w:rsid w:val="004317E6"/>
    <w:rsid w:val="004317EE"/>
    <w:rsid w:val="0043231A"/>
    <w:rsid w:val="00433599"/>
    <w:rsid w:val="00434A24"/>
    <w:rsid w:val="0043515E"/>
    <w:rsid w:val="00435554"/>
    <w:rsid w:val="004372BD"/>
    <w:rsid w:val="00437C77"/>
    <w:rsid w:val="00441AF3"/>
    <w:rsid w:val="00442F62"/>
    <w:rsid w:val="00443080"/>
    <w:rsid w:val="0044525C"/>
    <w:rsid w:val="00445530"/>
    <w:rsid w:val="00445871"/>
    <w:rsid w:val="00446838"/>
    <w:rsid w:val="0045014C"/>
    <w:rsid w:val="00450AD0"/>
    <w:rsid w:val="00452153"/>
    <w:rsid w:val="00453A41"/>
    <w:rsid w:val="00453F1B"/>
    <w:rsid w:val="00453FC4"/>
    <w:rsid w:val="00454059"/>
    <w:rsid w:val="00457A51"/>
    <w:rsid w:val="00457BDA"/>
    <w:rsid w:val="00457D35"/>
    <w:rsid w:val="00457F76"/>
    <w:rsid w:val="00461480"/>
    <w:rsid w:val="0046244B"/>
    <w:rsid w:val="00462DC6"/>
    <w:rsid w:val="004637CC"/>
    <w:rsid w:val="00463A25"/>
    <w:rsid w:val="004702AC"/>
    <w:rsid w:val="00470B00"/>
    <w:rsid w:val="00471178"/>
    <w:rsid w:val="004712F1"/>
    <w:rsid w:val="004721C5"/>
    <w:rsid w:val="0047343A"/>
    <w:rsid w:val="00474931"/>
    <w:rsid w:val="00474BF4"/>
    <w:rsid w:val="00474D7E"/>
    <w:rsid w:val="00475300"/>
    <w:rsid w:val="0048136C"/>
    <w:rsid w:val="00481477"/>
    <w:rsid w:val="00481CDD"/>
    <w:rsid w:val="004824B8"/>
    <w:rsid w:val="00482C06"/>
    <w:rsid w:val="004836A2"/>
    <w:rsid w:val="00483A53"/>
    <w:rsid w:val="00484423"/>
    <w:rsid w:val="004879B0"/>
    <w:rsid w:val="004902EC"/>
    <w:rsid w:val="0049051E"/>
    <w:rsid w:val="00490BA7"/>
    <w:rsid w:val="0049171D"/>
    <w:rsid w:val="00491EA7"/>
    <w:rsid w:val="00492073"/>
    <w:rsid w:val="004922B7"/>
    <w:rsid w:val="00493456"/>
    <w:rsid w:val="00493611"/>
    <w:rsid w:val="0049479A"/>
    <w:rsid w:val="00494DDB"/>
    <w:rsid w:val="00494FAC"/>
    <w:rsid w:val="004952EC"/>
    <w:rsid w:val="00495906"/>
    <w:rsid w:val="00496269"/>
    <w:rsid w:val="004962DA"/>
    <w:rsid w:val="004A0030"/>
    <w:rsid w:val="004A010D"/>
    <w:rsid w:val="004A0424"/>
    <w:rsid w:val="004A2A99"/>
    <w:rsid w:val="004A32F1"/>
    <w:rsid w:val="004A3408"/>
    <w:rsid w:val="004A3730"/>
    <w:rsid w:val="004A399D"/>
    <w:rsid w:val="004A43CC"/>
    <w:rsid w:val="004A563A"/>
    <w:rsid w:val="004A567F"/>
    <w:rsid w:val="004A5FBC"/>
    <w:rsid w:val="004A7514"/>
    <w:rsid w:val="004A790E"/>
    <w:rsid w:val="004B055D"/>
    <w:rsid w:val="004B12B1"/>
    <w:rsid w:val="004B19B7"/>
    <w:rsid w:val="004B1AB3"/>
    <w:rsid w:val="004B246F"/>
    <w:rsid w:val="004B2658"/>
    <w:rsid w:val="004B3B12"/>
    <w:rsid w:val="004B490F"/>
    <w:rsid w:val="004B4E1C"/>
    <w:rsid w:val="004B515F"/>
    <w:rsid w:val="004B70AF"/>
    <w:rsid w:val="004C134E"/>
    <w:rsid w:val="004C169B"/>
    <w:rsid w:val="004C221C"/>
    <w:rsid w:val="004C2E64"/>
    <w:rsid w:val="004C3806"/>
    <w:rsid w:val="004C3E7F"/>
    <w:rsid w:val="004C4409"/>
    <w:rsid w:val="004C630F"/>
    <w:rsid w:val="004C698F"/>
    <w:rsid w:val="004C6B72"/>
    <w:rsid w:val="004C755F"/>
    <w:rsid w:val="004D08F0"/>
    <w:rsid w:val="004D1E2C"/>
    <w:rsid w:val="004D202F"/>
    <w:rsid w:val="004D310D"/>
    <w:rsid w:val="004D4556"/>
    <w:rsid w:val="004D4ADF"/>
    <w:rsid w:val="004D4DED"/>
    <w:rsid w:val="004D7235"/>
    <w:rsid w:val="004E1BA1"/>
    <w:rsid w:val="004E3FBD"/>
    <w:rsid w:val="004E42E7"/>
    <w:rsid w:val="004E43DB"/>
    <w:rsid w:val="004E5FAA"/>
    <w:rsid w:val="004E7179"/>
    <w:rsid w:val="004F18B1"/>
    <w:rsid w:val="004F2046"/>
    <w:rsid w:val="004F3608"/>
    <w:rsid w:val="004F77A0"/>
    <w:rsid w:val="0050072B"/>
    <w:rsid w:val="00501035"/>
    <w:rsid w:val="00501089"/>
    <w:rsid w:val="005015B3"/>
    <w:rsid w:val="00501934"/>
    <w:rsid w:val="005039CB"/>
    <w:rsid w:val="00503FA0"/>
    <w:rsid w:val="005048CB"/>
    <w:rsid w:val="005075E7"/>
    <w:rsid w:val="005106DE"/>
    <w:rsid w:val="00512C89"/>
    <w:rsid w:val="0051341A"/>
    <w:rsid w:val="005146F3"/>
    <w:rsid w:val="0051563E"/>
    <w:rsid w:val="00516C1B"/>
    <w:rsid w:val="00516C92"/>
    <w:rsid w:val="00517741"/>
    <w:rsid w:val="00517E58"/>
    <w:rsid w:val="00517F07"/>
    <w:rsid w:val="0052073E"/>
    <w:rsid w:val="005217FF"/>
    <w:rsid w:val="00523554"/>
    <w:rsid w:val="005235BF"/>
    <w:rsid w:val="005270C5"/>
    <w:rsid w:val="005278B1"/>
    <w:rsid w:val="00527E8F"/>
    <w:rsid w:val="0053033C"/>
    <w:rsid w:val="00530BEC"/>
    <w:rsid w:val="00530DE7"/>
    <w:rsid w:val="00532CFD"/>
    <w:rsid w:val="00533E29"/>
    <w:rsid w:val="00533E82"/>
    <w:rsid w:val="00534B55"/>
    <w:rsid w:val="005351A8"/>
    <w:rsid w:val="0053617E"/>
    <w:rsid w:val="00536AD3"/>
    <w:rsid w:val="0054127F"/>
    <w:rsid w:val="005414D0"/>
    <w:rsid w:val="00542BA5"/>
    <w:rsid w:val="0054347D"/>
    <w:rsid w:val="00543592"/>
    <w:rsid w:val="00544D5D"/>
    <w:rsid w:val="0054576C"/>
    <w:rsid w:val="0054676A"/>
    <w:rsid w:val="005471C1"/>
    <w:rsid w:val="00547C6D"/>
    <w:rsid w:val="00547DE7"/>
    <w:rsid w:val="0055033E"/>
    <w:rsid w:val="00550DFB"/>
    <w:rsid w:val="005511F4"/>
    <w:rsid w:val="00551560"/>
    <w:rsid w:val="00551656"/>
    <w:rsid w:val="00551A29"/>
    <w:rsid w:val="005522D8"/>
    <w:rsid w:val="0055273A"/>
    <w:rsid w:val="0055316E"/>
    <w:rsid w:val="005534D3"/>
    <w:rsid w:val="00556DE6"/>
    <w:rsid w:val="005572AD"/>
    <w:rsid w:val="00560573"/>
    <w:rsid w:val="005608C5"/>
    <w:rsid w:val="00560EFF"/>
    <w:rsid w:val="0056283D"/>
    <w:rsid w:val="005636EF"/>
    <w:rsid w:val="00563898"/>
    <w:rsid w:val="00563FBC"/>
    <w:rsid w:val="00563FCF"/>
    <w:rsid w:val="0056597B"/>
    <w:rsid w:val="00566DE4"/>
    <w:rsid w:val="005671C4"/>
    <w:rsid w:val="005673DE"/>
    <w:rsid w:val="00567A25"/>
    <w:rsid w:val="00570437"/>
    <w:rsid w:val="00571CBC"/>
    <w:rsid w:val="0057354A"/>
    <w:rsid w:val="00575020"/>
    <w:rsid w:val="00576F21"/>
    <w:rsid w:val="00577380"/>
    <w:rsid w:val="00577A94"/>
    <w:rsid w:val="00577B46"/>
    <w:rsid w:val="00581EC4"/>
    <w:rsid w:val="00583379"/>
    <w:rsid w:val="00583AF1"/>
    <w:rsid w:val="00583E87"/>
    <w:rsid w:val="00584483"/>
    <w:rsid w:val="00584FDA"/>
    <w:rsid w:val="00585E0B"/>
    <w:rsid w:val="00587881"/>
    <w:rsid w:val="005914B4"/>
    <w:rsid w:val="00592EEA"/>
    <w:rsid w:val="005949E8"/>
    <w:rsid w:val="00595070"/>
    <w:rsid w:val="0059546E"/>
    <w:rsid w:val="00595603"/>
    <w:rsid w:val="005963D9"/>
    <w:rsid w:val="005976D6"/>
    <w:rsid w:val="005A0A5A"/>
    <w:rsid w:val="005A1329"/>
    <w:rsid w:val="005A2717"/>
    <w:rsid w:val="005A34C1"/>
    <w:rsid w:val="005A41AC"/>
    <w:rsid w:val="005A5A47"/>
    <w:rsid w:val="005A5FA3"/>
    <w:rsid w:val="005A6458"/>
    <w:rsid w:val="005A7760"/>
    <w:rsid w:val="005B035B"/>
    <w:rsid w:val="005B1183"/>
    <w:rsid w:val="005B2386"/>
    <w:rsid w:val="005B2E02"/>
    <w:rsid w:val="005B3BB8"/>
    <w:rsid w:val="005B3EE0"/>
    <w:rsid w:val="005B5353"/>
    <w:rsid w:val="005B640A"/>
    <w:rsid w:val="005B74A6"/>
    <w:rsid w:val="005B7DFE"/>
    <w:rsid w:val="005C002D"/>
    <w:rsid w:val="005C0244"/>
    <w:rsid w:val="005C052D"/>
    <w:rsid w:val="005C080D"/>
    <w:rsid w:val="005C236B"/>
    <w:rsid w:val="005C4A3F"/>
    <w:rsid w:val="005C5B4A"/>
    <w:rsid w:val="005C5D10"/>
    <w:rsid w:val="005C5D79"/>
    <w:rsid w:val="005C707B"/>
    <w:rsid w:val="005C7F58"/>
    <w:rsid w:val="005D0592"/>
    <w:rsid w:val="005D0848"/>
    <w:rsid w:val="005D222E"/>
    <w:rsid w:val="005D248F"/>
    <w:rsid w:val="005D327B"/>
    <w:rsid w:val="005D4F0A"/>
    <w:rsid w:val="005D4F41"/>
    <w:rsid w:val="005D5A15"/>
    <w:rsid w:val="005D5FF7"/>
    <w:rsid w:val="005D72C3"/>
    <w:rsid w:val="005D79F0"/>
    <w:rsid w:val="005E100D"/>
    <w:rsid w:val="005E231F"/>
    <w:rsid w:val="005E284D"/>
    <w:rsid w:val="005E4489"/>
    <w:rsid w:val="005E496A"/>
    <w:rsid w:val="005E553D"/>
    <w:rsid w:val="005E61FE"/>
    <w:rsid w:val="005E6C09"/>
    <w:rsid w:val="005E7055"/>
    <w:rsid w:val="005E7361"/>
    <w:rsid w:val="005E7BA7"/>
    <w:rsid w:val="005F3696"/>
    <w:rsid w:val="005F4995"/>
    <w:rsid w:val="005F607B"/>
    <w:rsid w:val="005F7A3F"/>
    <w:rsid w:val="006009DD"/>
    <w:rsid w:val="00602746"/>
    <w:rsid w:val="00602AAC"/>
    <w:rsid w:val="0060594F"/>
    <w:rsid w:val="00605E98"/>
    <w:rsid w:val="0060646E"/>
    <w:rsid w:val="00606908"/>
    <w:rsid w:val="006076AC"/>
    <w:rsid w:val="0060792C"/>
    <w:rsid w:val="00610278"/>
    <w:rsid w:val="0061086B"/>
    <w:rsid w:val="00610A7B"/>
    <w:rsid w:val="0061120D"/>
    <w:rsid w:val="00611F54"/>
    <w:rsid w:val="006122D7"/>
    <w:rsid w:val="00612830"/>
    <w:rsid w:val="00612D89"/>
    <w:rsid w:val="00613C53"/>
    <w:rsid w:val="00615252"/>
    <w:rsid w:val="00615747"/>
    <w:rsid w:val="006176EA"/>
    <w:rsid w:val="0062065E"/>
    <w:rsid w:val="0062181C"/>
    <w:rsid w:val="00621AD7"/>
    <w:rsid w:val="00621C66"/>
    <w:rsid w:val="00622CE3"/>
    <w:rsid w:val="00622F73"/>
    <w:rsid w:val="00624221"/>
    <w:rsid w:val="0062469A"/>
    <w:rsid w:val="006248D9"/>
    <w:rsid w:val="00624904"/>
    <w:rsid w:val="00625114"/>
    <w:rsid w:val="0062587C"/>
    <w:rsid w:val="00625B8E"/>
    <w:rsid w:val="00625CC0"/>
    <w:rsid w:val="00625EDD"/>
    <w:rsid w:val="0063113F"/>
    <w:rsid w:val="00631529"/>
    <w:rsid w:val="006337ED"/>
    <w:rsid w:val="006351B5"/>
    <w:rsid w:val="006356FA"/>
    <w:rsid w:val="006357CA"/>
    <w:rsid w:val="0063614D"/>
    <w:rsid w:val="0063617E"/>
    <w:rsid w:val="0063641F"/>
    <w:rsid w:val="00636E7D"/>
    <w:rsid w:val="00637C5B"/>
    <w:rsid w:val="006402D6"/>
    <w:rsid w:val="006409D2"/>
    <w:rsid w:val="00640CEF"/>
    <w:rsid w:val="00640D03"/>
    <w:rsid w:val="006415FA"/>
    <w:rsid w:val="006416AC"/>
    <w:rsid w:val="00641C2C"/>
    <w:rsid w:val="00641C2F"/>
    <w:rsid w:val="00641D3F"/>
    <w:rsid w:val="00642148"/>
    <w:rsid w:val="006421D0"/>
    <w:rsid w:val="00642691"/>
    <w:rsid w:val="00643415"/>
    <w:rsid w:val="00643C58"/>
    <w:rsid w:val="00644D93"/>
    <w:rsid w:val="006456DB"/>
    <w:rsid w:val="006473E2"/>
    <w:rsid w:val="00647ADB"/>
    <w:rsid w:val="00647D52"/>
    <w:rsid w:val="00647ED2"/>
    <w:rsid w:val="006504BC"/>
    <w:rsid w:val="00651778"/>
    <w:rsid w:val="00651CA4"/>
    <w:rsid w:val="0065306C"/>
    <w:rsid w:val="00653A07"/>
    <w:rsid w:val="00653ECD"/>
    <w:rsid w:val="00653FAE"/>
    <w:rsid w:val="0065440A"/>
    <w:rsid w:val="00655593"/>
    <w:rsid w:val="00656442"/>
    <w:rsid w:val="006602E0"/>
    <w:rsid w:val="00660765"/>
    <w:rsid w:val="00660D5F"/>
    <w:rsid w:val="006610EE"/>
    <w:rsid w:val="00661C59"/>
    <w:rsid w:val="0066234A"/>
    <w:rsid w:val="0066330C"/>
    <w:rsid w:val="0066351C"/>
    <w:rsid w:val="0066455A"/>
    <w:rsid w:val="00664DB1"/>
    <w:rsid w:val="00665325"/>
    <w:rsid w:val="00665673"/>
    <w:rsid w:val="00672747"/>
    <w:rsid w:val="00672841"/>
    <w:rsid w:val="00673668"/>
    <w:rsid w:val="00673F24"/>
    <w:rsid w:val="00676ADC"/>
    <w:rsid w:val="006774BC"/>
    <w:rsid w:val="00680526"/>
    <w:rsid w:val="00680DCE"/>
    <w:rsid w:val="00681F3C"/>
    <w:rsid w:val="006831AB"/>
    <w:rsid w:val="00683337"/>
    <w:rsid w:val="00685AED"/>
    <w:rsid w:val="00690FDC"/>
    <w:rsid w:val="0069129D"/>
    <w:rsid w:val="0069203B"/>
    <w:rsid w:val="006936EE"/>
    <w:rsid w:val="00694367"/>
    <w:rsid w:val="006949EE"/>
    <w:rsid w:val="006966D9"/>
    <w:rsid w:val="006A02A7"/>
    <w:rsid w:val="006A0BDD"/>
    <w:rsid w:val="006A100A"/>
    <w:rsid w:val="006A115A"/>
    <w:rsid w:val="006A2999"/>
    <w:rsid w:val="006A2F7A"/>
    <w:rsid w:val="006A31AA"/>
    <w:rsid w:val="006A3E86"/>
    <w:rsid w:val="006A4134"/>
    <w:rsid w:val="006A4C1D"/>
    <w:rsid w:val="006A4D19"/>
    <w:rsid w:val="006A50C6"/>
    <w:rsid w:val="006A5286"/>
    <w:rsid w:val="006A652F"/>
    <w:rsid w:val="006A68D0"/>
    <w:rsid w:val="006A6B39"/>
    <w:rsid w:val="006A7CB7"/>
    <w:rsid w:val="006B077B"/>
    <w:rsid w:val="006B1396"/>
    <w:rsid w:val="006B158C"/>
    <w:rsid w:val="006B245C"/>
    <w:rsid w:val="006B3218"/>
    <w:rsid w:val="006B426A"/>
    <w:rsid w:val="006B6F00"/>
    <w:rsid w:val="006C0474"/>
    <w:rsid w:val="006C0B74"/>
    <w:rsid w:val="006C18C8"/>
    <w:rsid w:val="006C2D7D"/>
    <w:rsid w:val="006C2DA9"/>
    <w:rsid w:val="006C3F20"/>
    <w:rsid w:val="006C57A9"/>
    <w:rsid w:val="006C6B1E"/>
    <w:rsid w:val="006D04A7"/>
    <w:rsid w:val="006D0568"/>
    <w:rsid w:val="006D17D1"/>
    <w:rsid w:val="006D3A3C"/>
    <w:rsid w:val="006D4EFD"/>
    <w:rsid w:val="006D7272"/>
    <w:rsid w:val="006D7350"/>
    <w:rsid w:val="006D7CA0"/>
    <w:rsid w:val="006E1508"/>
    <w:rsid w:val="006E2027"/>
    <w:rsid w:val="006E26B5"/>
    <w:rsid w:val="006E4F60"/>
    <w:rsid w:val="006E592A"/>
    <w:rsid w:val="006E5BD2"/>
    <w:rsid w:val="006E632A"/>
    <w:rsid w:val="006E6A34"/>
    <w:rsid w:val="006E6DEC"/>
    <w:rsid w:val="006E71C0"/>
    <w:rsid w:val="006E78E9"/>
    <w:rsid w:val="006F0152"/>
    <w:rsid w:val="006F03CA"/>
    <w:rsid w:val="006F07F0"/>
    <w:rsid w:val="006F0F6E"/>
    <w:rsid w:val="006F1AC9"/>
    <w:rsid w:val="006F211A"/>
    <w:rsid w:val="006F2CD3"/>
    <w:rsid w:val="006F3203"/>
    <w:rsid w:val="006F34FF"/>
    <w:rsid w:val="006F37C3"/>
    <w:rsid w:val="006F468A"/>
    <w:rsid w:val="006F56C7"/>
    <w:rsid w:val="006F59FF"/>
    <w:rsid w:val="006F6487"/>
    <w:rsid w:val="006F6B96"/>
    <w:rsid w:val="006F718A"/>
    <w:rsid w:val="007011BD"/>
    <w:rsid w:val="00701510"/>
    <w:rsid w:val="007020B8"/>
    <w:rsid w:val="007023F1"/>
    <w:rsid w:val="00702A5C"/>
    <w:rsid w:val="00702B94"/>
    <w:rsid w:val="0070353D"/>
    <w:rsid w:val="00703565"/>
    <w:rsid w:val="007041D0"/>
    <w:rsid w:val="00705FA9"/>
    <w:rsid w:val="007072BB"/>
    <w:rsid w:val="00710541"/>
    <w:rsid w:val="007111F3"/>
    <w:rsid w:val="007113C0"/>
    <w:rsid w:val="00713DA0"/>
    <w:rsid w:val="00714DC7"/>
    <w:rsid w:val="00716C3A"/>
    <w:rsid w:val="00717013"/>
    <w:rsid w:val="007177E3"/>
    <w:rsid w:val="007179B1"/>
    <w:rsid w:val="00717E18"/>
    <w:rsid w:val="00720D11"/>
    <w:rsid w:val="00721286"/>
    <w:rsid w:val="00723D6C"/>
    <w:rsid w:val="007247FB"/>
    <w:rsid w:val="00725800"/>
    <w:rsid w:val="00725888"/>
    <w:rsid w:val="00726EAB"/>
    <w:rsid w:val="00726FEB"/>
    <w:rsid w:val="00727720"/>
    <w:rsid w:val="00730B5F"/>
    <w:rsid w:val="00730F25"/>
    <w:rsid w:val="007313C9"/>
    <w:rsid w:val="00732DCB"/>
    <w:rsid w:val="007337F4"/>
    <w:rsid w:val="00733D03"/>
    <w:rsid w:val="007355E7"/>
    <w:rsid w:val="007363AA"/>
    <w:rsid w:val="00736C4D"/>
    <w:rsid w:val="00740C85"/>
    <w:rsid w:val="00741B27"/>
    <w:rsid w:val="00741BF9"/>
    <w:rsid w:val="00742110"/>
    <w:rsid w:val="00742413"/>
    <w:rsid w:val="007441C5"/>
    <w:rsid w:val="00744841"/>
    <w:rsid w:val="00746CD1"/>
    <w:rsid w:val="007506A4"/>
    <w:rsid w:val="00750C34"/>
    <w:rsid w:val="00750FE7"/>
    <w:rsid w:val="00751285"/>
    <w:rsid w:val="00753771"/>
    <w:rsid w:val="00754449"/>
    <w:rsid w:val="00754777"/>
    <w:rsid w:val="0075491A"/>
    <w:rsid w:val="007561FF"/>
    <w:rsid w:val="00760190"/>
    <w:rsid w:val="0076043F"/>
    <w:rsid w:val="007607BD"/>
    <w:rsid w:val="007610B7"/>
    <w:rsid w:val="007615C5"/>
    <w:rsid w:val="00762259"/>
    <w:rsid w:val="00765269"/>
    <w:rsid w:val="007656D0"/>
    <w:rsid w:val="007659D7"/>
    <w:rsid w:val="00766264"/>
    <w:rsid w:val="00766339"/>
    <w:rsid w:val="0076772A"/>
    <w:rsid w:val="00767C6E"/>
    <w:rsid w:val="00770221"/>
    <w:rsid w:val="00770DA6"/>
    <w:rsid w:val="0077178E"/>
    <w:rsid w:val="00773516"/>
    <w:rsid w:val="00776132"/>
    <w:rsid w:val="007762EE"/>
    <w:rsid w:val="007763C0"/>
    <w:rsid w:val="007766DB"/>
    <w:rsid w:val="007768DB"/>
    <w:rsid w:val="007774F1"/>
    <w:rsid w:val="00777A9A"/>
    <w:rsid w:val="00780578"/>
    <w:rsid w:val="00781C7B"/>
    <w:rsid w:val="007827D2"/>
    <w:rsid w:val="00782F90"/>
    <w:rsid w:val="00783088"/>
    <w:rsid w:val="007834CD"/>
    <w:rsid w:val="00784614"/>
    <w:rsid w:val="0078560B"/>
    <w:rsid w:val="007877B2"/>
    <w:rsid w:val="00787A1E"/>
    <w:rsid w:val="00791E63"/>
    <w:rsid w:val="00792B9E"/>
    <w:rsid w:val="00793B7E"/>
    <w:rsid w:val="00796515"/>
    <w:rsid w:val="007967D2"/>
    <w:rsid w:val="00797FB3"/>
    <w:rsid w:val="007A138E"/>
    <w:rsid w:val="007A278D"/>
    <w:rsid w:val="007A312F"/>
    <w:rsid w:val="007A3B79"/>
    <w:rsid w:val="007A3CB5"/>
    <w:rsid w:val="007A5C99"/>
    <w:rsid w:val="007A5FAF"/>
    <w:rsid w:val="007A6522"/>
    <w:rsid w:val="007A6A12"/>
    <w:rsid w:val="007A71E1"/>
    <w:rsid w:val="007A7245"/>
    <w:rsid w:val="007B05F7"/>
    <w:rsid w:val="007B1D5A"/>
    <w:rsid w:val="007B2F24"/>
    <w:rsid w:val="007B4919"/>
    <w:rsid w:val="007B6017"/>
    <w:rsid w:val="007B7050"/>
    <w:rsid w:val="007C045D"/>
    <w:rsid w:val="007C368E"/>
    <w:rsid w:val="007C5D0F"/>
    <w:rsid w:val="007C6850"/>
    <w:rsid w:val="007C7628"/>
    <w:rsid w:val="007C7CAE"/>
    <w:rsid w:val="007D0B09"/>
    <w:rsid w:val="007D2151"/>
    <w:rsid w:val="007D2474"/>
    <w:rsid w:val="007D2A36"/>
    <w:rsid w:val="007D339A"/>
    <w:rsid w:val="007D3B57"/>
    <w:rsid w:val="007D4FDD"/>
    <w:rsid w:val="007E0334"/>
    <w:rsid w:val="007E0C08"/>
    <w:rsid w:val="007E0C3C"/>
    <w:rsid w:val="007E1446"/>
    <w:rsid w:val="007E16A2"/>
    <w:rsid w:val="007E3394"/>
    <w:rsid w:val="007E4956"/>
    <w:rsid w:val="007E49BB"/>
    <w:rsid w:val="007E4A72"/>
    <w:rsid w:val="007E4C02"/>
    <w:rsid w:val="007E4FB9"/>
    <w:rsid w:val="007E5448"/>
    <w:rsid w:val="007E5792"/>
    <w:rsid w:val="007E624C"/>
    <w:rsid w:val="007E6698"/>
    <w:rsid w:val="007E68F9"/>
    <w:rsid w:val="007F07A4"/>
    <w:rsid w:val="007F0D59"/>
    <w:rsid w:val="007F15C9"/>
    <w:rsid w:val="007F37E9"/>
    <w:rsid w:val="007F3CB8"/>
    <w:rsid w:val="007F578D"/>
    <w:rsid w:val="007F6614"/>
    <w:rsid w:val="007F6D3F"/>
    <w:rsid w:val="008003B5"/>
    <w:rsid w:val="00800BB2"/>
    <w:rsid w:val="00801508"/>
    <w:rsid w:val="00803FCB"/>
    <w:rsid w:val="0080455A"/>
    <w:rsid w:val="00804F84"/>
    <w:rsid w:val="00805509"/>
    <w:rsid w:val="00806140"/>
    <w:rsid w:val="00807B05"/>
    <w:rsid w:val="00810828"/>
    <w:rsid w:val="0081165E"/>
    <w:rsid w:val="00812071"/>
    <w:rsid w:val="00812A21"/>
    <w:rsid w:val="00814088"/>
    <w:rsid w:val="008147C7"/>
    <w:rsid w:val="00814C79"/>
    <w:rsid w:val="00815240"/>
    <w:rsid w:val="0081551C"/>
    <w:rsid w:val="00815C23"/>
    <w:rsid w:val="00815CE2"/>
    <w:rsid w:val="00816717"/>
    <w:rsid w:val="0082164D"/>
    <w:rsid w:val="00821E5B"/>
    <w:rsid w:val="008227C0"/>
    <w:rsid w:val="0082417B"/>
    <w:rsid w:val="0082537B"/>
    <w:rsid w:val="00825911"/>
    <w:rsid w:val="00825C00"/>
    <w:rsid w:val="00825EB5"/>
    <w:rsid w:val="008268F1"/>
    <w:rsid w:val="00827115"/>
    <w:rsid w:val="0082712D"/>
    <w:rsid w:val="008272CD"/>
    <w:rsid w:val="008304FF"/>
    <w:rsid w:val="00830BA0"/>
    <w:rsid w:val="008326D5"/>
    <w:rsid w:val="00834007"/>
    <w:rsid w:val="008342C7"/>
    <w:rsid w:val="008351FB"/>
    <w:rsid w:val="00837BD3"/>
    <w:rsid w:val="00840461"/>
    <w:rsid w:val="00840651"/>
    <w:rsid w:val="0084146B"/>
    <w:rsid w:val="00841919"/>
    <w:rsid w:val="008444BD"/>
    <w:rsid w:val="00844891"/>
    <w:rsid w:val="00846709"/>
    <w:rsid w:val="00847AE3"/>
    <w:rsid w:val="008505D0"/>
    <w:rsid w:val="00851325"/>
    <w:rsid w:val="00851659"/>
    <w:rsid w:val="00851B9B"/>
    <w:rsid w:val="00851DF3"/>
    <w:rsid w:val="0085222F"/>
    <w:rsid w:val="00852CA2"/>
    <w:rsid w:val="008544EE"/>
    <w:rsid w:val="00854E89"/>
    <w:rsid w:val="00855473"/>
    <w:rsid w:val="0085550C"/>
    <w:rsid w:val="00855559"/>
    <w:rsid w:val="0085563C"/>
    <w:rsid w:val="008560F8"/>
    <w:rsid w:val="00857E2F"/>
    <w:rsid w:val="008609C8"/>
    <w:rsid w:val="0086121B"/>
    <w:rsid w:val="0086145D"/>
    <w:rsid w:val="00862027"/>
    <w:rsid w:val="0086284C"/>
    <w:rsid w:val="00863165"/>
    <w:rsid w:val="0086433E"/>
    <w:rsid w:val="0086491A"/>
    <w:rsid w:val="008663F0"/>
    <w:rsid w:val="00866D44"/>
    <w:rsid w:val="008673FC"/>
    <w:rsid w:val="0087058C"/>
    <w:rsid w:val="0087176B"/>
    <w:rsid w:val="0087182B"/>
    <w:rsid w:val="00871DAD"/>
    <w:rsid w:val="00872CE5"/>
    <w:rsid w:val="008747D4"/>
    <w:rsid w:val="00874811"/>
    <w:rsid w:val="00874896"/>
    <w:rsid w:val="00877906"/>
    <w:rsid w:val="00877C34"/>
    <w:rsid w:val="00881028"/>
    <w:rsid w:val="00881161"/>
    <w:rsid w:val="00881A99"/>
    <w:rsid w:val="008822E7"/>
    <w:rsid w:val="008835FE"/>
    <w:rsid w:val="00883E89"/>
    <w:rsid w:val="00884229"/>
    <w:rsid w:val="00884A7E"/>
    <w:rsid w:val="00884E25"/>
    <w:rsid w:val="0088779C"/>
    <w:rsid w:val="00891B1A"/>
    <w:rsid w:val="00891EEE"/>
    <w:rsid w:val="00893515"/>
    <w:rsid w:val="008935BF"/>
    <w:rsid w:val="0089376E"/>
    <w:rsid w:val="00894547"/>
    <w:rsid w:val="00895EAA"/>
    <w:rsid w:val="00896581"/>
    <w:rsid w:val="008A4C1B"/>
    <w:rsid w:val="008A525E"/>
    <w:rsid w:val="008A5AE5"/>
    <w:rsid w:val="008A6011"/>
    <w:rsid w:val="008A62CF"/>
    <w:rsid w:val="008A64AE"/>
    <w:rsid w:val="008A6537"/>
    <w:rsid w:val="008A769C"/>
    <w:rsid w:val="008A7F86"/>
    <w:rsid w:val="008B064E"/>
    <w:rsid w:val="008B13E1"/>
    <w:rsid w:val="008B29CD"/>
    <w:rsid w:val="008B3500"/>
    <w:rsid w:val="008B39C1"/>
    <w:rsid w:val="008B4047"/>
    <w:rsid w:val="008B5008"/>
    <w:rsid w:val="008B591E"/>
    <w:rsid w:val="008B5C56"/>
    <w:rsid w:val="008B5F0E"/>
    <w:rsid w:val="008B6F13"/>
    <w:rsid w:val="008B73EE"/>
    <w:rsid w:val="008B7BA5"/>
    <w:rsid w:val="008B7DB1"/>
    <w:rsid w:val="008C1662"/>
    <w:rsid w:val="008C1BA6"/>
    <w:rsid w:val="008C1BDE"/>
    <w:rsid w:val="008C1E48"/>
    <w:rsid w:val="008C2786"/>
    <w:rsid w:val="008C3220"/>
    <w:rsid w:val="008C4642"/>
    <w:rsid w:val="008C48B0"/>
    <w:rsid w:val="008C4DCE"/>
    <w:rsid w:val="008C6302"/>
    <w:rsid w:val="008C74C4"/>
    <w:rsid w:val="008C7B14"/>
    <w:rsid w:val="008D0368"/>
    <w:rsid w:val="008D0DB8"/>
    <w:rsid w:val="008D29A3"/>
    <w:rsid w:val="008D318F"/>
    <w:rsid w:val="008D351E"/>
    <w:rsid w:val="008D3DEC"/>
    <w:rsid w:val="008D6F12"/>
    <w:rsid w:val="008D73EC"/>
    <w:rsid w:val="008D7684"/>
    <w:rsid w:val="008D7756"/>
    <w:rsid w:val="008D7961"/>
    <w:rsid w:val="008E00B3"/>
    <w:rsid w:val="008E08A7"/>
    <w:rsid w:val="008E11F4"/>
    <w:rsid w:val="008E1EC9"/>
    <w:rsid w:val="008E202B"/>
    <w:rsid w:val="008E5008"/>
    <w:rsid w:val="008E5281"/>
    <w:rsid w:val="008F1443"/>
    <w:rsid w:val="008F21CB"/>
    <w:rsid w:val="008F2700"/>
    <w:rsid w:val="008F2C63"/>
    <w:rsid w:val="008F2C9B"/>
    <w:rsid w:val="008F468B"/>
    <w:rsid w:val="008F4829"/>
    <w:rsid w:val="008F5297"/>
    <w:rsid w:val="008F67F7"/>
    <w:rsid w:val="008F6B32"/>
    <w:rsid w:val="008F739C"/>
    <w:rsid w:val="0090040D"/>
    <w:rsid w:val="00901615"/>
    <w:rsid w:val="00903174"/>
    <w:rsid w:val="009041E1"/>
    <w:rsid w:val="00904C02"/>
    <w:rsid w:val="00904D1E"/>
    <w:rsid w:val="0090522D"/>
    <w:rsid w:val="0090533D"/>
    <w:rsid w:val="00905728"/>
    <w:rsid w:val="009063DB"/>
    <w:rsid w:val="00906CAB"/>
    <w:rsid w:val="00911D17"/>
    <w:rsid w:val="0091431D"/>
    <w:rsid w:val="00914807"/>
    <w:rsid w:val="00915C7D"/>
    <w:rsid w:val="0091724F"/>
    <w:rsid w:val="0091775F"/>
    <w:rsid w:val="009216B1"/>
    <w:rsid w:val="0092175F"/>
    <w:rsid w:val="00922856"/>
    <w:rsid w:val="009234F5"/>
    <w:rsid w:val="009256B5"/>
    <w:rsid w:val="00925E15"/>
    <w:rsid w:val="00926DE5"/>
    <w:rsid w:val="0092788F"/>
    <w:rsid w:val="009316B1"/>
    <w:rsid w:val="009331FB"/>
    <w:rsid w:val="00934D89"/>
    <w:rsid w:val="00934EDB"/>
    <w:rsid w:val="0093630D"/>
    <w:rsid w:val="009378D9"/>
    <w:rsid w:val="00941A93"/>
    <w:rsid w:val="009435B6"/>
    <w:rsid w:val="00943D4B"/>
    <w:rsid w:val="00943D9C"/>
    <w:rsid w:val="00944283"/>
    <w:rsid w:val="00944591"/>
    <w:rsid w:val="009445F7"/>
    <w:rsid w:val="0094586F"/>
    <w:rsid w:val="00946098"/>
    <w:rsid w:val="00946B0B"/>
    <w:rsid w:val="00947296"/>
    <w:rsid w:val="0094773C"/>
    <w:rsid w:val="00947C36"/>
    <w:rsid w:val="009502A5"/>
    <w:rsid w:val="009504CF"/>
    <w:rsid w:val="0095076C"/>
    <w:rsid w:val="0095092B"/>
    <w:rsid w:val="009521E3"/>
    <w:rsid w:val="009548A5"/>
    <w:rsid w:val="00954C4C"/>
    <w:rsid w:val="0095537B"/>
    <w:rsid w:val="00955591"/>
    <w:rsid w:val="00956131"/>
    <w:rsid w:val="0095694D"/>
    <w:rsid w:val="00956BCA"/>
    <w:rsid w:val="00957AF4"/>
    <w:rsid w:val="00957BA1"/>
    <w:rsid w:val="00960856"/>
    <w:rsid w:val="00960B36"/>
    <w:rsid w:val="00962812"/>
    <w:rsid w:val="00962F7D"/>
    <w:rsid w:val="00963CF9"/>
    <w:rsid w:val="00964221"/>
    <w:rsid w:val="00964270"/>
    <w:rsid w:val="00964D37"/>
    <w:rsid w:val="0096553E"/>
    <w:rsid w:val="009721BF"/>
    <w:rsid w:val="00972365"/>
    <w:rsid w:val="00972544"/>
    <w:rsid w:val="00972D5A"/>
    <w:rsid w:val="009753E6"/>
    <w:rsid w:val="00976BC1"/>
    <w:rsid w:val="0097715F"/>
    <w:rsid w:val="009816C3"/>
    <w:rsid w:val="0098177B"/>
    <w:rsid w:val="00981C15"/>
    <w:rsid w:val="00984551"/>
    <w:rsid w:val="00984849"/>
    <w:rsid w:val="00987320"/>
    <w:rsid w:val="00991953"/>
    <w:rsid w:val="009921F5"/>
    <w:rsid w:val="009922E2"/>
    <w:rsid w:val="00992806"/>
    <w:rsid w:val="00993F56"/>
    <w:rsid w:val="0099454F"/>
    <w:rsid w:val="00997119"/>
    <w:rsid w:val="00997CA1"/>
    <w:rsid w:val="009A0062"/>
    <w:rsid w:val="009A0216"/>
    <w:rsid w:val="009A0982"/>
    <w:rsid w:val="009A09EE"/>
    <w:rsid w:val="009A0EBF"/>
    <w:rsid w:val="009A2ABD"/>
    <w:rsid w:val="009A3DC3"/>
    <w:rsid w:val="009A5CAE"/>
    <w:rsid w:val="009A65A4"/>
    <w:rsid w:val="009A7406"/>
    <w:rsid w:val="009A7985"/>
    <w:rsid w:val="009B0C52"/>
    <w:rsid w:val="009B129C"/>
    <w:rsid w:val="009B186D"/>
    <w:rsid w:val="009B19D8"/>
    <w:rsid w:val="009B30D4"/>
    <w:rsid w:val="009B3155"/>
    <w:rsid w:val="009B33A3"/>
    <w:rsid w:val="009B3A0B"/>
    <w:rsid w:val="009B4A3A"/>
    <w:rsid w:val="009B4CEC"/>
    <w:rsid w:val="009B652F"/>
    <w:rsid w:val="009C0070"/>
    <w:rsid w:val="009C16AC"/>
    <w:rsid w:val="009C1884"/>
    <w:rsid w:val="009C1A0A"/>
    <w:rsid w:val="009C2657"/>
    <w:rsid w:val="009C5B4E"/>
    <w:rsid w:val="009C601A"/>
    <w:rsid w:val="009C6F0D"/>
    <w:rsid w:val="009D08F1"/>
    <w:rsid w:val="009D2535"/>
    <w:rsid w:val="009D2A88"/>
    <w:rsid w:val="009D34FD"/>
    <w:rsid w:val="009D355C"/>
    <w:rsid w:val="009D4DF6"/>
    <w:rsid w:val="009D5838"/>
    <w:rsid w:val="009D59A1"/>
    <w:rsid w:val="009E042F"/>
    <w:rsid w:val="009E1D17"/>
    <w:rsid w:val="009E2457"/>
    <w:rsid w:val="009E274B"/>
    <w:rsid w:val="009E2CDA"/>
    <w:rsid w:val="009E3232"/>
    <w:rsid w:val="009E440F"/>
    <w:rsid w:val="009E5698"/>
    <w:rsid w:val="009E5981"/>
    <w:rsid w:val="009E66F5"/>
    <w:rsid w:val="009F1157"/>
    <w:rsid w:val="009F13B4"/>
    <w:rsid w:val="009F4EAF"/>
    <w:rsid w:val="009F503F"/>
    <w:rsid w:val="009F52CD"/>
    <w:rsid w:val="009F6059"/>
    <w:rsid w:val="00A0260D"/>
    <w:rsid w:val="00A04866"/>
    <w:rsid w:val="00A06053"/>
    <w:rsid w:val="00A07896"/>
    <w:rsid w:val="00A1014C"/>
    <w:rsid w:val="00A13A44"/>
    <w:rsid w:val="00A13D1F"/>
    <w:rsid w:val="00A1769D"/>
    <w:rsid w:val="00A2216C"/>
    <w:rsid w:val="00A22E8F"/>
    <w:rsid w:val="00A244D6"/>
    <w:rsid w:val="00A2617A"/>
    <w:rsid w:val="00A27ABE"/>
    <w:rsid w:val="00A27AF6"/>
    <w:rsid w:val="00A3112B"/>
    <w:rsid w:val="00A3216B"/>
    <w:rsid w:val="00A327FB"/>
    <w:rsid w:val="00A332C4"/>
    <w:rsid w:val="00A33F08"/>
    <w:rsid w:val="00A3679D"/>
    <w:rsid w:val="00A3774B"/>
    <w:rsid w:val="00A37E5A"/>
    <w:rsid w:val="00A40005"/>
    <w:rsid w:val="00A408F8"/>
    <w:rsid w:val="00A41C4A"/>
    <w:rsid w:val="00A429DB"/>
    <w:rsid w:val="00A42C4D"/>
    <w:rsid w:val="00A43C61"/>
    <w:rsid w:val="00A43E43"/>
    <w:rsid w:val="00A45942"/>
    <w:rsid w:val="00A45A6C"/>
    <w:rsid w:val="00A45AFF"/>
    <w:rsid w:val="00A47A59"/>
    <w:rsid w:val="00A513CA"/>
    <w:rsid w:val="00A533DD"/>
    <w:rsid w:val="00A551EA"/>
    <w:rsid w:val="00A55620"/>
    <w:rsid w:val="00A55D22"/>
    <w:rsid w:val="00A5618B"/>
    <w:rsid w:val="00A562A7"/>
    <w:rsid w:val="00A578D4"/>
    <w:rsid w:val="00A600BC"/>
    <w:rsid w:val="00A604FB"/>
    <w:rsid w:val="00A60898"/>
    <w:rsid w:val="00A611AB"/>
    <w:rsid w:val="00A627E3"/>
    <w:rsid w:val="00A62C56"/>
    <w:rsid w:val="00A636E1"/>
    <w:rsid w:val="00A63C26"/>
    <w:rsid w:val="00A64A2D"/>
    <w:rsid w:val="00A6559A"/>
    <w:rsid w:val="00A66ED7"/>
    <w:rsid w:val="00A6700C"/>
    <w:rsid w:val="00A67230"/>
    <w:rsid w:val="00A67C36"/>
    <w:rsid w:val="00A723A2"/>
    <w:rsid w:val="00A72BA0"/>
    <w:rsid w:val="00A73301"/>
    <w:rsid w:val="00A74BDF"/>
    <w:rsid w:val="00A74EB8"/>
    <w:rsid w:val="00A75320"/>
    <w:rsid w:val="00A754DF"/>
    <w:rsid w:val="00A767F0"/>
    <w:rsid w:val="00A76D06"/>
    <w:rsid w:val="00A7760E"/>
    <w:rsid w:val="00A80F87"/>
    <w:rsid w:val="00A836EB"/>
    <w:rsid w:val="00A8375F"/>
    <w:rsid w:val="00A83EFB"/>
    <w:rsid w:val="00A8421C"/>
    <w:rsid w:val="00A8446F"/>
    <w:rsid w:val="00A84B76"/>
    <w:rsid w:val="00A84ED8"/>
    <w:rsid w:val="00A85E73"/>
    <w:rsid w:val="00A85F6A"/>
    <w:rsid w:val="00A86764"/>
    <w:rsid w:val="00A86F6E"/>
    <w:rsid w:val="00A87957"/>
    <w:rsid w:val="00A90811"/>
    <w:rsid w:val="00A91AA1"/>
    <w:rsid w:val="00A924B5"/>
    <w:rsid w:val="00A9278A"/>
    <w:rsid w:val="00A927F3"/>
    <w:rsid w:val="00A93283"/>
    <w:rsid w:val="00A952B2"/>
    <w:rsid w:val="00A959DD"/>
    <w:rsid w:val="00A970E9"/>
    <w:rsid w:val="00A97AD6"/>
    <w:rsid w:val="00A97D60"/>
    <w:rsid w:val="00AA024B"/>
    <w:rsid w:val="00AA0CA5"/>
    <w:rsid w:val="00AA2325"/>
    <w:rsid w:val="00AA3BFE"/>
    <w:rsid w:val="00AA45B9"/>
    <w:rsid w:val="00AA48D6"/>
    <w:rsid w:val="00AA53CC"/>
    <w:rsid w:val="00AA5D5B"/>
    <w:rsid w:val="00AA67D3"/>
    <w:rsid w:val="00AA71A9"/>
    <w:rsid w:val="00AA7A3B"/>
    <w:rsid w:val="00AA7B23"/>
    <w:rsid w:val="00AA7BC7"/>
    <w:rsid w:val="00AB0964"/>
    <w:rsid w:val="00AB0B0B"/>
    <w:rsid w:val="00AB1AEC"/>
    <w:rsid w:val="00AB1C1B"/>
    <w:rsid w:val="00AB221D"/>
    <w:rsid w:val="00AB3032"/>
    <w:rsid w:val="00AB3264"/>
    <w:rsid w:val="00AB32A1"/>
    <w:rsid w:val="00AB4158"/>
    <w:rsid w:val="00AB42AD"/>
    <w:rsid w:val="00AB4A32"/>
    <w:rsid w:val="00AB53BF"/>
    <w:rsid w:val="00AB5851"/>
    <w:rsid w:val="00AB58A9"/>
    <w:rsid w:val="00AB5AED"/>
    <w:rsid w:val="00AB778B"/>
    <w:rsid w:val="00AC0120"/>
    <w:rsid w:val="00AC0190"/>
    <w:rsid w:val="00AC0747"/>
    <w:rsid w:val="00AC36F9"/>
    <w:rsid w:val="00AC4A11"/>
    <w:rsid w:val="00AC4AA0"/>
    <w:rsid w:val="00AC7A54"/>
    <w:rsid w:val="00AC7EE6"/>
    <w:rsid w:val="00AD0395"/>
    <w:rsid w:val="00AD08EF"/>
    <w:rsid w:val="00AD0CE3"/>
    <w:rsid w:val="00AD149E"/>
    <w:rsid w:val="00AD201F"/>
    <w:rsid w:val="00AD2030"/>
    <w:rsid w:val="00AD39B1"/>
    <w:rsid w:val="00AD3AC4"/>
    <w:rsid w:val="00AD4282"/>
    <w:rsid w:val="00AD51C5"/>
    <w:rsid w:val="00AD6638"/>
    <w:rsid w:val="00AE0A82"/>
    <w:rsid w:val="00AE19F3"/>
    <w:rsid w:val="00AE328E"/>
    <w:rsid w:val="00AE3438"/>
    <w:rsid w:val="00AE3AAB"/>
    <w:rsid w:val="00AE45C4"/>
    <w:rsid w:val="00AE477D"/>
    <w:rsid w:val="00AE47B6"/>
    <w:rsid w:val="00AE4B24"/>
    <w:rsid w:val="00AE5766"/>
    <w:rsid w:val="00AE7744"/>
    <w:rsid w:val="00AF15CD"/>
    <w:rsid w:val="00AF1B4C"/>
    <w:rsid w:val="00AF3A38"/>
    <w:rsid w:val="00AF3E43"/>
    <w:rsid w:val="00AF41F6"/>
    <w:rsid w:val="00AF4E4A"/>
    <w:rsid w:val="00AF6B63"/>
    <w:rsid w:val="00AF7426"/>
    <w:rsid w:val="00B009BD"/>
    <w:rsid w:val="00B01401"/>
    <w:rsid w:val="00B01B57"/>
    <w:rsid w:val="00B05447"/>
    <w:rsid w:val="00B05D8A"/>
    <w:rsid w:val="00B05DCE"/>
    <w:rsid w:val="00B07246"/>
    <w:rsid w:val="00B07400"/>
    <w:rsid w:val="00B07B25"/>
    <w:rsid w:val="00B11263"/>
    <w:rsid w:val="00B11446"/>
    <w:rsid w:val="00B115AC"/>
    <w:rsid w:val="00B1268E"/>
    <w:rsid w:val="00B12A48"/>
    <w:rsid w:val="00B12B38"/>
    <w:rsid w:val="00B13129"/>
    <w:rsid w:val="00B14612"/>
    <w:rsid w:val="00B14FD7"/>
    <w:rsid w:val="00B15852"/>
    <w:rsid w:val="00B16B77"/>
    <w:rsid w:val="00B17468"/>
    <w:rsid w:val="00B22F64"/>
    <w:rsid w:val="00B23415"/>
    <w:rsid w:val="00B24E43"/>
    <w:rsid w:val="00B250AC"/>
    <w:rsid w:val="00B26958"/>
    <w:rsid w:val="00B26BFB"/>
    <w:rsid w:val="00B26CE5"/>
    <w:rsid w:val="00B27A34"/>
    <w:rsid w:val="00B302C4"/>
    <w:rsid w:val="00B31400"/>
    <w:rsid w:val="00B32AA4"/>
    <w:rsid w:val="00B32EA0"/>
    <w:rsid w:val="00B35900"/>
    <w:rsid w:val="00B36626"/>
    <w:rsid w:val="00B37154"/>
    <w:rsid w:val="00B37276"/>
    <w:rsid w:val="00B37845"/>
    <w:rsid w:val="00B37897"/>
    <w:rsid w:val="00B405E4"/>
    <w:rsid w:val="00B41E24"/>
    <w:rsid w:val="00B4232F"/>
    <w:rsid w:val="00B4289A"/>
    <w:rsid w:val="00B443BA"/>
    <w:rsid w:val="00B44FFF"/>
    <w:rsid w:val="00B45036"/>
    <w:rsid w:val="00B451A5"/>
    <w:rsid w:val="00B45500"/>
    <w:rsid w:val="00B47062"/>
    <w:rsid w:val="00B47FDF"/>
    <w:rsid w:val="00B50544"/>
    <w:rsid w:val="00B50B6D"/>
    <w:rsid w:val="00B531D9"/>
    <w:rsid w:val="00B53E89"/>
    <w:rsid w:val="00B54115"/>
    <w:rsid w:val="00B572CD"/>
    <w:rsid w:val="00B575F1"/>
    <w:rsid w:val="00B576B5"/>
    <w:rsid w:val="00B57AE7"/>
    <w:rsid w:val="00B57CF5"/>
    <w:rsid w:val="00B61185"/>
    <w:rsid w:val="00B62EE9"/>
    <w:rsid w:val="00B633B8"/>
    <w:rsid w:val="00B63FE6"/>
    <w:rsid w:val="00B641D6"/>
    <w:rsid w:val="00B64330"/>
    <w:rsid w:val="00B64BF9"/>
    <w:rsid w:val="00B64E89"/>
    <w:rsid w:val="00B65289"/>
    <w:rsid w:val="00B66982"/>
    <w:rsid w:val="00B66E11"/>
    <w:rsid w:val="00B6722E"/>
    <w:rsid w:val="00B67F7A"/>
    <w:rsid w:val="00B705FA"/>
    <w:rsid w:val="00B70635"/>
    <w:rsid w:val="00B707CB"/>
    <w:rsid w:val="00B70A56"/>
    <w:rsid w:val="00B70FE9"/>
    <w:rsid w:val="00B72667"/>
    <w:rsid w:val="00B73123"/>
    <w:rsid w:val="00B74EF5"/>
    <w:rsid w:val="00B764F1"/>
    <w:rsid w:val="00B771F1"/>
    <w:rsid w:val="00B8094E"/>
    <w:rsid w:val="00B813E4"/>
    <w:rsid w:val="00B819B4"/>
    <w:rsid w:val="00B81DB5"/>
    <w:rsid w:val="00B820F4"/>
    <w:rsid w:val="00B82D41"/>
    <w:rsid w:val="00B83305"/>
    <w:rsid w:val="00B85B4C"/>
    <w:rsid w:val="00B86C5D"/>
    <w:rsid w:val="00B87AB4"/>
    <w:rsid w:val="00B911EF"/>
    <w:rsid w:val="00B92005"/>
    <w:rsid w:val="00B92034"/>
    <w:rsid w:val="00B92A8C"/>
    <w:rsid w:val="00B92D12"/>
    <w:rsid w:val="00B930B3"/>
    <w:rsid w:val="00B94905"/>
    <w:rsid w:val="00B94F56"/>
    <w:rsid w:val="00B95794"/>
    <w:rsid w:val="00B959B7"/>
    <w:rsid w:val="00B95CF2"/>
    <w:rsid w:val="00B96314"/>
    <w:rsid w:val="00BA0801"/>
    <w:rsid w:val="00BA0B72"/>
    <w:rsid w:val="00BA3508"/>
    <w:rsid w:val="00BA3715"/>
    <w:rsid w:val="00BA5607"/>
    <w:rsid w:val="00BA5BC9"/>
    <w:rsid w:val="00BA7901"/>
    <w:rsid w:val="00BA7A86"/>
    <w:rsid w:val="00BA7B68"/>
    <w:rsid w:val="00BA7D5B"/>
    <w:rsid w:val="00BA7E6A"/>
    <w:rsid w:val="00BB01A3"/>
    <w:rsid w:val="00BB0C7E"/>
    <w:rsid w:val="00BB17D5"/>
    <w:rsid w:val="00BB30F5"/>
    <w:rsid w:val="00BB3FD9"/>
    <w:rsid w:val="00BB4B87"/>
    <w:rsid w:val="00BB5AAA"/>
    <w:rsid w:val="00BB5B40"/>
    <w:rsid w:val="00BB753B"/>
    <w:rsid w:val="00BC0294"/>
    <w:rsid w:val="00BC0B70"/>
    <w:rsid w:val="00BC3A09"/>
    <w:rsid w:val="00BC50B2"/>
    <w:rsid w:val="00BC7700"/>
    <w:rsid w:val="00BD127E"/>
    <w:rsid w:val="00BD15EF"/>
    <w:rsid w:val="00BD2D43"/>
    <w:rsid w:val="00BD3108"/>
    <w:rsid w:val="00BD3BD5"/>
    <w:rsid w:val="00BD40CC"/>
    <w:rsid w:val="00BD4AB5"/>
    <w:rsid w:val="00BD4E31"/>
    <w:rsid w:val="00BD5947"/>
    <w:rsid w:val="00BD60C5"/>
    <w:rsid w:val="00BE08ED"/>
    <w:rsid w:val="00BE1323"/>
    <w:rsid w:val="00BE4CE9"/>
    <w:rsid w:val="00BE5F74"/>
    <w:rsid w:val="00BE6DCB"/>
    <w:rsid w:val="00BF00FC"/>
    <w:rsid w:val="00BF143C"/>
    <w:rsid w:val="00BF264D"/>
    <w:rsid w:val="00BF3F52"/>
    <w:rsid w:val="00BF465B"/>
    <w:rsid w:val="00BF577D"/>
    <w:rsid w:val="00BF65FE"/>
    <w:rsid w:val="00BF70E2"/>
    <w:rsid w:val="00BF7C07"/>
    <w:rsid w:val="00BF7FA4"/>
    <w:rsid w:val="00C00368"/>
    <w:rsid w:val="00C00482"/>
    <w:rsid w:val="00C005A4"/>
    <w:rsid w:val="00C00E8A"/>
    <w:rsid w:val="00C0218A"/>
    <w:rsid w:val="00C0389C"/>
    <w:rsid w:val="00C04DD0"/>
    <w:rsid w:val="00C10AC3"/>
    <w:rsid w:val="00C11009"/>
    <w:rsid w:val="00C12554"/>
    <w:rsid w:val="00C12F3A"/>
    <w:rsid w:val="00C150AC"/>
    <w:rsid w:val="00C1527D"/>
    <w:rsid w:val="00C156C4"/>
    <w:rsid w:val="00C159C1"/>
    <w:rsid w:val="00C16925"/>
    <w:rsid w:val="00C16A85"/>
    <w:rsid w:val="00C1732F"/>
    <w:rsid w:val="00C17AB6"/>
    <w:rsid w:val="00C17BC7"/>
    <w:rsid w:val="00C2010C"/>
    <w:rsid w:val="00C2090A"/>
    <w:rsid w:val="00C22419"/>
    <w:rsid w:val="00C224FB"/>
    <w:rsid w:val="00C26282"/>
    <w:rsid w:val="00C2628E"/>
    <w:rsid w:val="00C27825"/>
    <w:rsid w:val="00C31724"/>
    <w:rsid w:val="00C3272B"/>
    <w:rsid w:val="00C32C5F"/>
    <w:rsid w:val="00C34EA6"/>
    <w:rsid w:val="00C35ED6"/>
    <w:rsid w:val="00C372D6"/>
    <w:rsid w:val="00C374FD"/>
    <w:rsid w:val="00C37A81"/>
    <w:rsid w:val="00C406FD"/>
    <w:rsid w:val="00C407AD"/>
    <w:rsid w:val="00C43BE8"/>
    <w:rsid w:val="00C44A5A"/>
    <w:rsid w:val="00C454D4"/>
    <w:rsid w:val="00C460B9"/>
    <w:rsid w:val="00C46524"/>
    <w:rsid w:val="00C47173"/>
    <w:rsid w:val="00C47291"/>
    <w:rsid w:val="00C51CDD"/>
    <w:rsid w:val="00C52394"/>
    <w:rsid w:val="00C5448B"/>
    <w:rsid w:val="00C551D3"/>
    <w:rsid w:val="00C5573B"/>
    <w:rsid w:val="00C574AC"/>
    <w:rsid w:val="00C576A0"/>
    <w:rsid w:val="00C57711"/>
    <w:rsid w:val="00C601ED"/>
    <w:rsid w:val="00C60993"/>
    <w:rsid w:val="00C613E4"/>
    <w:rsid w:val="00C637EB"/>
    <w:rsid w:val="00C6460C"/>
    <w:rsid w:val="00C64677"/>
    <w:rsid w:val="00C67323"/>
    <w:rsid w:val="00C67973"/>
    <w:rsid w:val="00C70E97"/>
    <w:rsid w:val="00C71CF8"/>
    <w:rsid w:val="00C722F8"/>
    <w:rsid w:val="00C737C6"/>
    <w:rsid w:val="00C73F32"/>
    <w:rsid w:val="00C749D2"/>
    <w:rsid w:val="00C75B0B"/>
    <w:rsid w:val="00C75D18"/>
    <w:rsid w:val="00C80BDB"/>
    <w:rsid w:val="00C827AB"/>
    <w:rsid w:val="00C829C3"/>
    <w:rsid w:val="00C83BF7"/>
    <w:rsid w:val="00C8436E"/>
    <w:rsid w:val="00C850E2"/>
    <w:rsid w:val="00C854D5"/>
    <w:rsid w:val="00C85BA2"/>
    <w:rsid w:val="00C862A8"/>
    <w:rsid w:val="00C86AB4"/>
    <w:rsid w:val="00C87054"/>
    <w:rsid w:val="00C87928"/>
    <w:rsid w:val="00C90CCD"/>
    <w:rsid w:val="00C91494"/>
    <w:rsid w:val="00C9276D"/>
    <w:rsid w:val="00C930C3"/>
    <w:rsid w:val="00C9385A"/>
    <w:rsid w:val="00C93A77"/>
    <w:rsid w:val="00C94B79"/>
    <w:rsid w:val="00C956AF"/>
    <w:rsid w:val="00C971AF"/>
    <w:rsid w:val="00C97396"/>
    <w:rsid w:val="00C97A60"/>
    <w:rsid w:val="00CA0C30"/>
    <w:rsid w:val="00CA1145"/>
    <w:rsid w:val="00CA19A9"/>
    <w:rsid w:val="00CA2826"/>
    <w:rsid w:val="00CA29FD"/>
    <w:rsid w:val="00CA2BAA"/>
    <w:rsid w:val="00CA2C85"/>
    <w:rsid w:val="00CA3225"/>
    <w:rsid w:val="00CA4266"/>
    <w:rsid w:val="00CA4B1A"/>
    <w:rsid w:val="00CA4E59"/>
    <w:rsid w:val="00CB01AC"/>
    <w:rsid w:val="00CB03C1"/>
    <w:rsid w:val="00CB085D"/>
    <w:rsid w:val="00CB0EE8"/>
    <w:rsid w:val="00CB105F"/>
    <w:rsid w:val="00CB1AF2"/>
    <w:rsid w:val="00CB26D6"/>
    <w:rsid w:val="00CB2A04"/>
    <w:rsid w:val="00CB3567"/>
    <w:rsid w:val="00CB3D32"/>
    <w:rsid w:val="00CB453C"/>
    <w:rsid w:val="00CB676F"/>
    <w:rsid w:val="00CB7499"/>
    <w:rsid w:val="00CB7E39"/>
    <w:rsid w:val="00CC097B"/>
    <w:rsid w:val="00CC2021"/>
    <w:rsid w:val="00CC44B9"/>
    <w:rsid w:val="00CC45BC"/>
    <w:rsid w:val="00CC4973"/>
    <w:rsid w:val="00CC4D21"/>
    <w:rsid w:val="00CC53B0"/>
    <w:rsid w:val="00CC5A0A"/>
    <w:rsid w:val="00CC68ED"/>
    <w:rsid w:val="00CC728A"/>
    <w:rsid w:val="00CD040B"/>
    <w:rsid w:val="00CD1333"/>
    <w:rsid w:val="00CD234E"/>
    <w:rsid w:val="00CD3D7D"/>
    <w:rsid w:val="00CD6BB5"/>
    <w:rsid w:val="00CD7B43"/>
    <w:rsid w:val="00CD7DFC"/>
    <w:rsid w:val="00CE0808"/>
    <w:rsid w:val="00CE1A6D"/>
    <w:rsid w:val="00CE2EF7"/>
    <w:rsid w:val="00CE5715"/>
    <w:rsid w:val="00CE6A70"/>
    <w:rsid w:val="00CE77A2"/>
    <w:rsid w:val="00CF083D"/>
    <w:rsid w:val="00CF0BFE"/>
    <w:rsid w:val="00CF13E2"/>
    <w:rsid w:val="00CF202E"/>
    <w:rsid w:val="00CF45E4"/>
    <w:rsid w:val="00CF4F76"/>
    <w:rsid w:val="00CF52E3"/>
    <w:rsid w:val="00CF6243"/>
    <w:rsid w:val="00CF6A93"/>
    <w:rsid w:val="00CF6C26"/>
    <w:rsid w:val="00CF7004"/>
    <w:rsid w:val="00D0022C"/>
    <w:rsid w:val="00D008F4"/>
    <w:rsid w:val="00D0279F"/>
    <w:rsid w:val="00D0365C"/>
    <w:rsid w:val="00D040B1"/>
    <w:rsid w:val="00D04B0D"/>
    <w:rsid w:val="00D04DA0"/>
    <w:rsid w:val="00D05280"/>
    <w:rsid w:val="00D0618C"/>
    <w:rsid w:val="00D06D21"/>
    <w:rsid w:val="00D075C3"/>
    <w:rsid w:val="00D07C38"/>
    <w:rsid w:val="00D1157B"/>
    <w:rsid w:val="00D11E45"/>
    <w:rsid w:val="00D130C8"/>
    <w:rsid w:val="00D146C4"/>
    <w:rsid w:val="00D14944"/>
    <w:rsid w:val="00D152EF"/>
    <w:rsid w:val="00D1588D"/>
    <w:rsid w:val="00D158D2"/>
    <w:rsid w:val="00D1609E"/>
    <w:rsid w:val="00D16938"/>
    <w:rsid w:val="00D16AD1"/>
    <w:rsid w:val="00D215A7"/>
    <w:rsid w:val="00D21E3D"/>
    <w:rsid w:val="00D22039"/>
    <w:rsid w:val="00D221A0"/>
    <w:rsid w:val="00D22C42"/>
    <w:rsid w:val="00D23D09"/>
    <w:rsid w:val="00D242CD"/>
    <w:rsid w:val="00D25EA9"/>
    <w:rsid w:val="00D25F37"/>
    <w:rsid w:val="00D26DBE"/>
    <w:rsid w:val="00D26F4F"/>
    <w:rsid w:val="00D27E17"/>
    <w:rsid w:val="00D32F11"/>
    <w:rsid w:val="00D35370"/>
    <w:rsid w:val="00D374BD"/>
    <w:rsid w:val="00D40A68"/>
    <w:rsid w:val="00D40EAA"/>
    <w:rsid w:val="00D41959"/>
    <w:rsid w:val="00D42016"/>
    <w:rsid w:val="00D43AE9"/>
    <w:rsid w:val="00D44427"/>
    <w:rsid w:val="00D4530C"/>
    <w:rsid w:val="00D47DBF"/>
    <w:rsid w:val="00D5097D"/>
    <w:rsid w:val="00D51027"/>
    <w:rsid w:val="00D523D4"/>
    <w:rsid w:val="00D524F4"/>
    <w:rsid w:val="00D52613"/>
    <w:rsid w:val="00D52F77"/>
    <w:rsid w:val="00D533DF"/>
    <w:rsid w:val="00D54C2F"/>
    <w:rsid w:val="00D57D90"/>
    <w:rsid w:val="00D60CAB"/>
    <w:rsid w:val="00D60F51"/>
    <w:rsid w:val="00D61348"/>
    <w:rsid w:val="00D6144F"/>
    <w:rsid w:val="00D618BC"/>
    <w:rsid w:val="00D6227B"/>
    <w:rsid w:val="00D62537"/>
    <w:rsid w:val="00D644A6"/>
    <w:rsid w:val="00D65AD1"/>
    <w:rsid w:val="00D66DF9"/>
    <w:rsid w:val="00D67134"/>
    <w:rsid w:val="00D67E95"/>
    <w:rsid w:val="00D7030D"/>
    <w:rsid w:val="00D70714"/>
    <w:rsid w:val="00D71C1E"/>
    <w:rsid w:val="00D71CD1"/>
    <w:rsid w:val="00D722DA"/>
    <w:rsid w:val="00D737CC"/>
    <w:rsid w:val="00D73A1F"/>
    <w:rsid w:val="00D74059"/>
    <w:rsid w:val="00D7409F"/>
    <w:rsid w:val="00D748DD"/>
    <w:rsid w:val="00D7566E"/>
    <w:rsid w:val="00D7699C"/>
    <w:rsid w:val="00D806D3"/>
    <w:rsid w:val="00D82443"/>
    <w:rsid w:val="00D826B7"/>
    <w:rsid w:val="00D82997"/>
    <w:rsid w:val="00D82D21"/>
    <w:rsid w:val="00D83215"/>
    <w:rsid w:val="00D84633"/>
    <w:rsid w:val="00D850D4"/>
    <w:rsid w:val="00D8665B"/>
    <w:rsid w:val="00D8668B"/>
    <w:rsid w:val="00D87861"/>
    <w:rsid w:val="00D87C81"/>
    <w:rsid w:val="00D90119"/>
    <w:rsid w:val="00D906BD"/>
    <w:rsid w:val="00D9092F"/>
    <w:rsid w:val="00D90F1C"/>
    <w:rsid w:val="00D91451"/>
    <w:rsid w:val="00D93028"/>
    <w:rsid w:val="00D93A23"/>
    <w:rsid w:val="00D94310"/>
    <w:rsid w:val="00D94F69"/>
    <w:rsid w:val="00DA186B"/>
    <w:rsid w:val="00DA2F88"/>
    <w:rsid w:val="00DA4199"/>
    <w:rsid w:val="00DA48A0"/>
    <w:rsid w:val="00DA6346"/>
    <w:rsid w:val="00DA70E1"/>
    <w:rsid w:val="00DB0E10"/>
    <w:rsid w:val="00DB2D7D"/>
    <w:rsid w:val="00DB3B0E"/>
    <w:rsid w:val="00DB41A6"/>
    <w:rsid w:val="00DB42D8"/>
    <w:rsid w:val="00DB42F4"/>
    <w:rsid w:val="00DB4D95"/>
    <w:rsid w:val="00DB5145"/>
    <w:rsid w:val="00DB568C"/>
    <w:rsid w:val="00DB5DD1"/>
    <w:rsid w:val="00DB77AA"/>
    <w:rsid w:val="00DB78CE"/>
    <w:rsid w:val="00DC216B"/>
    <w:rsid w:val="00DC257A"/>
    <w:rsid w:val="00DC5CDA"/>
    <w:rsid w:val="00DC7E84"/>
    <w:rsid w:val="00DC7F9D"/>
    <w:rsid w:val="00DD0025"/>
    <w:rsid w:val="00DD0114"/>
    <w:rsid w:val="00DD02C4"/>
    <w:rsid w:val="00DD0DD7"/>
    <w:rsid w:val="00DD0F05"/>
    <w:rsid w:val="00DD2F26"/>
    <w:rsid w:val="00DD562F"/>
    <w:rsid w:val="00DD622C"/>
    <w:rsid w:val="00DD6392"/>
    <w:rsid w:val="00DD7E37"/>
    <w:rsid w:val="00DE1F01"/>
    <w:rsid w:val="00DE25B9"/>
    <w:rsid w:val="00DE2DED"/>
    <w:rsid w:val="00DE35A6"/>
    <w:rsid w:val="00DE379A"/>
    <w:rsid w:val="00DE3FC1"/>
    <w:rsid w:val="00DE52AD"/>
    <w:rsid w:val="00DE57C1"/>
    <w:rsid w:val="00DE66AA"/>
    <w:rsid w:val="00DE6B1A"/>
    <w:rsid w:val="00DF13F5"/>
    <w:rsid w:val="00DF19B5"/>
    <w:rsid w:val="00DF2C48"/>
    <w:rsid w:val="00DF3183"/>
    <w:rsid w:val="00DF46A3"/>
    <w:rsid w:val="00DF55BA"/>
    <w:rsid w:val="00DF56A8"/>
    <w:rsid w:val="00DF6707"/>
    <w:rsid w:val="00DF744F"/>
    <w:rsid w:val="00E0114C"/>
    <w:rsid w:val="00E02BFC"/>
    <w:rsid w:val="00E030B8"/>
    <w:rsid w:val="00E037FA"/>
    <w:rsid w:val="00E04276"/>
    <w:rsid w:val="00E04B5B"/>
    <w:rsid w:val="00E04D25"/>
    <w:rsid w:val="00E055FC"/>
    <w:rsid w:val="00E056CB"/>
    <w:rsid w:val="00E070FF"/>
    <w:rsid w:val="00E07435"/>
    <w:rsid w:val="00E074E6"/>
    <w:rsid w:val="00E10965"/>
    <w:rsid w:val="00E136D7"/>
    <w:rsid w:val="00E13C04"/>
    <w:rsid w:val="00E147A5"/>
    <w:rsid w:val="00E20223"/>
    <w:rsid w:val="00E20E7E"/>
    <w:rsid w:val="00E21817"/>
    <w:rsid w:val="00E233A2"/>
    <w:rsid w:val="00E23652"/>
    <w:rsid w:val="00E238F4"/>
    <w:rsid w:val="00E250C4"/>
    <w:rsid w:val="00E255CB"/>
    <w:rsid w:val="00E26086"/>
    <w:rsid w:val="00E26721"/>
    <w:rsid w:val="00E275AA"/>
    <w:rsid w:val="00E305EE"/>
    <w:rsid w:val="00E30906"/>
    <w:rsid w:val="00E31AAE"/>
    <w:rsid w:val="00E34F2D"/>
    <w:rsid w:val="00E35E83"/>
    <w:rsid w:val="00E36AD9"/>
    <w:rsid w:val="00E36B10"/>
    <w:rsid w:val="00E379F2"/>
    <w:rsid w:val="00E37AB6"/>
    <w:rsid w:val="00E40445"/>
    <w:rsid w:val="00E40AB6"/>
    <w:rsid w:val="00E42538"/>
    <w:rsid w:val="00E42A37"/>
    <w:rsid w:val="00E43A59"/>
    <w:rsid w:val="00E4416B"/>
    <w:rsid w:val="00E4439C"/>
    <w:rsid w:val="00E453C6"/>
    <w:rsid w:val="00E45D17"/>
    <w:rsid w:val="00E46834"/>
    <w:rsid w:val="00E47810"/>
    <w:rsid w:val="00E50F0F"/>
    <w:rsid w:val="00E5133F"/>
    <w:rsid w:val="00E51BBD"/>
    <w:rsid w:val="00E53856"/>
    <w:rsid w:val="00E538C9"/>
    <w:rsid w:val="00E560B8"/>
    <w:rsid w:val="00E577BC"/>
    <w:rsid w:val="00E60DB1"/>
    <w:rsid w:val="00E61887"/>
    <w:rsid w:val="00E62DEB"/>
    <w:rsid w:val="00E63A59"/>
    <w:rsid w:val="00E648D3"/>
    <w:rsid w:val="00E64AB3"/>
    <w:rsid w:val="00E65F27"/>
    <w:rsid w:val="00E66444"/>
    <w:rsid w:val="00E66B50"/>
    <w:rsid w:val="00E66BF9"/>
    <w:rsid w:val="00E67671"/>
    <w:rsid w:val="00E67F85"/>
    <w:rsid w:val="00E73955"/>
    <w:rsid w:val="00E7431C"/>
    <w:rsid w:val="00E7676F"/>
    <w:rsid w:val="00E767CE"/>
    <w:rsid w:val="00E80150"/>
    <w:rsid w:val="00E8138F"/>
    <w:rsid w:val="00E81F7E"/>
    <w:rsid w:val="00E82D0C"/>
    <w:rsid w:val="00E82EC0"/>
    <w:rsid w:val="00E84595"/>
    <w:rsid w:val="00E8479D"/>
    <w:rsid w:val="00E85941"/>
    <w:rsid w:val="00E85B86"/>
    <w:rsid w:val="00E86027"/>
    <w:rsid w:val="00E873A2"/>
    <w:rsid w:val="00E90775"/>
    <w:rsid w:val="00E91185"/>
    <w:rsid w:val="00E91717"/>
    <w:rsid w:val="00E91BF8"/>
    <w:rsid w:val="00E92133"/>
    <w:rsid w:val="00E9368C"/>
    <w:rsid w:val="00E93ABE"/>
    <w:rsid w:val="00E96F1E"/>
    <w:rsid w:val="00EA01C6"/>
    <w:rsid w:val="00EA0AB9"/>
    <w:rsid w:val="00EA1AE7"/>
    <w:rsid w:val="00EA1F6C"/>
    <w:rsid w:val="00EA26ED"/>
    <w:rsid w:val="00EA29A5"/>
    <w:rsid w:val="00EA2E67"/>
    <w:rsid w:val="00EA2EDB"/>
    <w:rsid w:val="00EA3037"/>
    <w:rsid w:val="00EA3825"/>
    <w:rsid w:val="00EA56BC"/>
    <w:rsid w:val="00EA5D85"/>
    <w:rsid w:val="00EA6224"/>
    <w:rsid w:val="00EA6CF3"/>
    <w:rsid w:val="00EB0028"/>
    <w:rsid w:val="00EB0215"/>
    <w:rsid w:val="00EB03C3"/>
    <w:rsid w:val="00EB0668"/>
    <w:rsid w:val="00EB0BE8"/>
    <w:rsid w:val="00EB1610"/>
    <w:rsid w:val="00EB2F0B"/>
    <w:rsid w:val="00EB2FB4"/>
    <w:rsid w:val="00EB4C94"/>
    <w:rsid w:val="00EB5054"/>
    <w:rsid w:val="00EB5F27"/>
    <w:rsid w:val="00EB74E9"/>
    <w:rsid w:val="00EB7A3E"/>
    <w:rsid w:val="00EC037B"/>
    <w:rsid w:val="00EC0BAB"/>
    <w:rsid w:val="00EC1022"/>
    <w:rsid w:val="00EC15A3"/>
    <w:rsid w:val="00EC5C6B"/>
    <w:rsid w:val="00EC6447"/>
    <w:rsid w:val="00EC78D8"/>
    <w:rsid w:val="00ED05CA"/>
    <w:rsid w:val="00ED18EA"/>
    <w:rsid w:val="00ED1DAC"/>
    <w:rsid w:val="00ED2CAE"/>
    <w:rsid w:val="00ED37D6"/>
    <w:rsid w:val="00ED40E7"/>
    <w:rsid w:val="00ED516F"/>
    <w:rsid w:val="00ED654F"/>
    <w:rsid w:val="00ED6CC6"/>
    <w:rsid w:val="00ED797A"/>
    <w:rsid w:val="00ED7A68"/>
    <w:rsid w:val="00EE02F5"/>
    <w:rsid w:val="00EE0CB7"/>
    <w:rsid w:val="00EE4C74"/>
    <w:rsid w:val="00EE51A3"/>
    <w:rsid w:val="00EE5BC6"/>
    <w:rsid w:val="00EE7862"/>
    <w:rsid w:val="00EF0170"/>
    <w:rsid w:val="00EF02DA"/>
    <w:rsid w:val="00EF095B"/>
    <w:rsid w:val="00EF2D64"/>
    <w:rsid w:val="00EF6D30"/>
    <w:rsid w:val="00F01A64"/>
    <w:rsid w:val="00F01AC7"/>
    <w:rsid w:val="00F0238B"/>
    <w:rsid w:val="00F02B1E"/>
    <w:rsid w:val="00F02BBE"/>
    <w:rsid w:val="00F02F70"/>
    <w:rsid w:val="00F03077"/>
    <w:rsid w:val="00F0323B"/>
    <w:rsid w:val="00F066FB"/>
    <w:rsid w:val="00F068DB"/>
    <w:rsid w:val="00F06D47"/>
    <w:rsid w:val="00F072BB"/>
    <w:rsid w:val="00F07C4B"/>
    <w:rsid w:val="00F07DEE"/>
    <w:rsid w:val="00F102E3"/>
    <w:rsid w:val="00F10A4F"/>
    <w:rsid w:val="00F11D21"/>
    <w:rsid w:val="00F12FF2"/>
    <w:rsid w:val="00F14B12"/>
    <w:rsid w:val="00F151DA"/>
    <w:rsid w:val="00F1689B"/>
    <w:rsid w:val="00F2098B"/>
    <w:rsid w:val="00F22061"/>
    <w:rsid w:val="00F220F2"/>
    <w:rsid w:val="00F229BC"/>
    <w:rsid w:val="00F23299"/>
    <w:rsid w:val="00F23370"/>
    <w:rsid w:val="00F2364D"/>
    <w:rsid w:val="00F23C41"/>
    <w:rsid w:val="00F241EB"/>
    <w:rsid w:val="00F24D2E"/>
    <w:rsid w:val="00F26026"/>
    <w:rsid w:val="00F26222"/>
    <w:rsid w:val="00F264F5"/>
    <w:rsid w:val="00F26C70"/>
    <w:rsid w:val="00F270FE"/>
    <w:rsid w:val="00F274B2"/>
    <w:rsid w:val="00F279A9"/>
    <w:rsid w:val="00F307BA"/>
    <w:rsid w:val="00F31CA5"/>
    <w:rsid w:val="00F32094"/>
    <w:rsid w:val="00F3378F"/>
    <w:rsid w:val="00F34166"/>
    <w:rsid w:val="00F353BE"/>
    <w:rsid w:val="00F35E1C"/>
    <w:rsid w:val="00F36CEC"/>
    <w:rsid w:val="00F36D57"/>
    <w:rsid w:val="00F4092E"/>
    <w:rsid w:val="00F40A42"/>
    <w:rsid w:val="00F41274"/>
    <w:rsid w:val="00F44D0C"/>
    <w:rsid w:val="00F44E0A"/>
    <w:rsid w:val="00F45326"/>
    <w:rsid w:val="00F471B1"/>
    <w:rsid w:val="00F502E8"/>
    <w:rsid w:val="00F50983"/>
    <w:rsid w:val="00F511E4"/>
    <w:rsid w:val="00F515F1"/>
    <w:rsid w:val="00F51A59"/>
    <w:rsid w:val="00F51B32"/>
    <w:rsid w:val="00F5240A"/>
    <w:rsid w:val="00F529EC"/>
    <w:rsid w:val="00F5344D"/>
    <w:rsid w:val="00F538CA"/>
    <w:rsid w:val="00F54827"/>
    <w:rsid w:val="00F54DD8"/>
    <w:rsid w:val="00F553AD"/>
    <w:rsid w:val="00F5568F"/>
    <w:rsid w:val="00F56D73"/>
    <w:rsid w:val="00F57029"/>
    <w:rsid w:val="00F57500"/>
    <w:rsid w:val="00F608EB"/>
    <w:rsid w:val="00F60F8D"/>
    <w:rsid w:val="00F61EFC"/>
    <w:rsid w:val="00F625A5"/>
    <w:rsid w:val="00F644C1"/>
    <w:rsid w:val="00F65640"/>
    <w:rsid w:val="00F65865"/>
    <w:rsid w:val="00F65DA2"/>
    <w:rsid w:val="00F665DD"/>
    <w:rsid w:val="00F70CD7"/>
    <w:rsid w:val="00F71D2B"/>
    <w:rsid w:val="00F72A8A"/>
    <w:rsid w:val="00F737FC"/>
    <w:rsid w:val="00F73A1D"/>
    <w:rsid w:val="00F74488"/>
    <w:rsid w:val="00F74771"/>
    <w:rsid w:val="00F74CFA"/>
    <w:rsid w:val="00F753BB"/>
    <w:rsid w:val="00F7552C"/>
    <w:rsid w:val="00F7628E"/>
    <w:rsid w:val="00F77105"/>
    <w:rsid w:val="00F77D9B"/>
    <w:rsid w:val="00F8143E"/>
    <w:rsid w:val="00F831C8"/>
    <w:rsid w:val="00F83523"/>
    <w:rsid w:val="00F87673"/>
    <w:rsid w:val="00F87A07"/>
    <w:rsid w:val="00F90926"/>
    <w:rsid w:val="00F91064"/>
    <w:rsid w:val="00F923B2"/>
    <w:rsid w:val="00F94BFC"/>
    <w:rsid w:val="00F95E5E"/>
    <w:rsid w:val="00F9635B"/>
    <w:rsid w:val="00F9643B"/>
    <w:rsid w:val="00F974BB"/>
    <w:rsid w:val="00FA009F"/>
    <w:rsid w:val="00FA0AE7"/>
    <w:rsid w:val="00FA2758"/>
    <w:rsid w:val="00FA47BC"/>
    <w:rsid w:val="00FA657E"/>
    <w:rsid w:val="00FA6CFE"/>
    <w:rsid w:val="00FB0427"/>
    <w:rsid w:val="00FB0D1A"/>
    <w:rsid w:val="00FB0E0A"/>
    <w:rsid w:val="00FB13CF"/>
    <w:rsid w:val="00FB23F2"/>
    <w:rsid w:val="00FB4C73"/>
    <w:rsid w:val="00FB5A61"/>
    <w:rsid w:val="00FB5B0E"/>
    <w:rsid w:val="00FB5DB5"/>
    <w:rsid w:val="00FB6EA5"/>
    <w:rsid w:val="00FB7183"/>
    <w:rsid w:val="00FC026C"/>
    <w:rsid w:val="00FC05E9"/>
    <w:rsid w:val="00FC1305"/>
    <w:rsid w:val="00FC18FB"/>
    <w:rsid w:val="00FC1B4F"/>
    <w:rsid w:val="00FC361A"/>
    <w:rsid w:val="00FC3760"/>
    <w:rsid w:val="00FC3CE3"/>
    <w:rsid w:val="00FC44C7"/>
    <w:rsid w:val="00FC4627"/>
    <w:rsid w:val="00FC5D63"/>
    <w:rsid w:val="00FC68CC"/>
    <w:rsid w:val="00FD013C"/>
    <w:rsid w:val="00FD0384"/>
    <w:rsid w:val="00FD0402"/>
    <w:rsid w:val="00FD1C5B"/>
    <w:rsid w:val="00FD1DD2"/>
    <w:rsid w:val="00FD22D7"/>
    <w:rsid w:val="00FD2D63"/>
    <w:rsid w:val="00FD3B1A"/>
    <w:rsid w:val="00FD665F"/>
    <w:rsid w:val="00FD6BDD"/>
    <w:rsid w:val="00FD7813"/>
    <w:rsid w:val="00FD7C39"/>
    <w:rsid w:val="00FE1BC2"/>
    <w:rsid w:val="00FE1C4F"/>
    <w:rsid w:val="00FE5FED"/>
    <w:rsid w:val="00FE65EA"/>
    <w:rsid w:val="00FE6B1D"/>
    <w:rsid w:val="00FE748E"/>
    <w:rsid w:val="00FE7829"/>
    <w:rsid w:val="00FE7FEB"/>
    <w:rsid w:val="00FF04CB"/>
    <w:rsid w:val="00FF07FF"/>
    <w:rsid w:val="00FF1478"/>
    <w:rsid w:val="00FF4D6D"/>
    <w:rsid w:val="00FF5B87"/>
    <w:rsid w:val="00FF67F7"/>
    <w:rsid w:val="00FF7492"/>
    <w:rsid w:val="00FF7A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4A"/>
    <w:rPr>
      <w:sz w:val="24"/>
      <w:szCs w:val="24"/>
    </w:rPr>
  </w:style>
  <w:style w:type="paragraph" w:styleId="Heading1">
    <w:name w:val="heading 1"/>
    <w:basedOn w:val="Normal"/>
    <w:next w:val="Normal"/>
    <w:qFormat/>
    <w:rsid w:val="00782F90"/>
    <w:pPr>
      <w:keepNext/>
      <w:jc w:val="center"/>
      <w:outlineLvl w:val="0"/>
    </w:pPr>
    <w:rPr>
      <w:b/>
      <w:szCs w:val="20"/>
      <w:lang w:eastAsia="en-US"/>
    </w:rPr>
  </w:style>
  <w:style w:type="paragraph" w:styleId="Heading2">
    <w:name w:val="heading 2"/>
    <w:basedOn w:val="Normal"/>
    <w:next w:val="Normal"/>
    <w:link w:val="Heading2Char"/>
    <w:qFormat/>
    <w:rsid w:val="004B3B12"/>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20118F"/>
    <w:pPr>
      <w:keepNext/>
      <w:jc w:val="center"/>
      <w:outlineLvl w:val="5"/>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595603"/>
    <w:pPr>
      <w:spacing w:after="120" w:line="480" w:lineRule="auto"/>
    </w:pPr>
  </w:style>
  <w:style w:type="paragraph" w:styleId="Header">
    <w:name w:val="header"/>
    <w:basedOn w:val="Normal"/>
    <w:rsid w:val="000153D4"/>
    <w:pPr>
      <w:tabs>
        <w:tab w:val="center" w:pos="4153"/>
        <w:tab w:val="right" w:pos="8306"/>
      </w:tabs>
    </w:pPr>
  </w:style>
  <w:style w:type="character" w:styleId="PageNumber">
    <w:name w:val="page number"/>
    <w:basedOn w:val="DefaultParagraphFont"/>
    <w:rsid w:val="000153D4"/>
  </w:style>
  <w:style w:type="paragraph" w:styleId="Footer">
    <w:name w:val="footer"/>
    <w:basedOn w:val="Normal"/>
    <w:link w:val="FooterChar"/>
    <w:rsid w:val="000153D4"/>
    <w:pPr>
      <w:tabs>
        <w:tab w:val="center" w:pos="4153"/>
        <w:tab w:val="right" w:pos="8306"/>
      </w:tabs>
    </w:pPr>
  </w:style>
  <w:style w:type="paragraph" w:styleId="BodyText">
    <w:name w:val="Body Text"/>
    <w:basedOn w:val="Normal"/>
    <w:rsid w:val="00782F90"/>
    <w:pPr>
      <w:spacing w:after="120"/>
    </w:pPr>
  </w:style>
  <w:style w:type="table" w:styleId="TableGrid">
    <w:name w:val="Table Grid"/>
    <w:basedOn w:val="TableNormal"/>
    <w:uiPriority w:val="59"/>
    <w:rsid w:val="00BB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B753B"/>
    <w:pPr>
      <w:spacing w:after="120" w:line="480" w:lineRule="auto"/>
      <w:ind w:left="283"/>
    </w:pPr>
  </w:style>
  <w:style w:type="paragraph" w:styleId="NormalWeb">
    <w:name w:val="Normal (Web)"/>
    <w:basedOn w:val="Normal"/>
    <w:uiPriority w:val="99"/>
    <w:rsid w:val="009B186D"/>
    <w:pPr>
      <w:spacing w:before="100" w:beforeAutospacing="1" w:after="100" w:afterAutospacing="1"/>
    </w:pPr>
  </w:style>
  <w:style w:type="paragraph" w:styleId="Caption">
    <w:name w:val="caption"/>
    <w:basedOn w:val="Normal"/>
    <w:next w:val="Normal"/>
    <w:qFormat/>
    <w:rsid w:val="00FC361A"/>
    <w:rPr>
      <w:b/>
      <w:bCs/>
      <w:sz w:val="20"/>
      <w:szCs w:val="20"/>
    </w:rPr>
  </w:style>
  <w:style w:type="paragraph" w:styleId="CommentText">
    <w:name w:val="annotation text"/>
    <w:basedOn w:val="Normal"/>
    <w:link w:val="CommentTextChar"/>
    <w:semiHidden/>
    <w:rsid w:val="00147177"/>
    <w:rPr>
      <w:sz w:val="20"/>
      <w:szCs w:val="20"/>
    </w:rPr>
  </w:style>
  <w:style w:type="paragraph" w:styleId="BodyTextIndent">
    <w:name w:val="Body Text Indent"/>
    <w:basedOn w:val="Normal"/>
    <w:rsid w:val="001114C6"/>
    <w:pPr>
      <w:spacing w:after="120"/>
      <w:ind w:left="283"/>
    </w:pPr>
  </w:style>
  <w:style w:type="character" w:styleId="Strong">
    <w:name w:val="Strong"/>
    <w:uiPriority w:val="22"/>
    <w:qFormat/>
    <w:rsid w:val="00F24D2E"/>
    <w:rPr>
      <w:b/>
      <w:bCs/>
    </w:rPr>
  </w:style>
  <w:style w:type="paragraph" w:customStyle="1" w:styleId="raksts">
    <w:name w:val="raksts"/>
    <w:basedOn w:val="Normal"/>
    <w:rsid w:val="00E84595"/>
    <w:pPr>
      <w:spacing w:before="100" w:beforeAutospacing="1" w:after="100" w:afterAutospacing="1"/>
      <w:jc w:val="both"/>
    </w:pPr>
    <w:rPr>
      <w:rFonts w:ascii="Verdana" w:hAnsi="Verdana"/>
      <w:sz w:val="20"/>
      <w:szCs w:val="20"/>
    </w:rPr>
  </w:style>
  <w:style w:type="character" w:styleId="Hyperlink">
    <w:name w:val="Hyperlink"/>
    <w:rsid w:val="009548A5"/>
    <w:rPr>
      <w:color w:val="0000FF"/>
      <w:u w:val="single"/>
    </w:rPr>
  </w:style>
  <w:style w:type="paragraph" w:styleId="EnvelopeAddress">
    <w:name w:val="envelope address"/>
    <w:basedOn w:val="Normal"/>
    <w:next w:val="Subtitle"/>
    <w:rsid w:val="007E4C02"/>
    <w:pPr>
      <w:keepNext/>
      <w:keepLines/>
      <w:widowControl w:val="0"/>
      <w:spacing w:before="60" w:after="60"/>
      <w:ind w:left="5103"/>
    </w:pPr>
    <w:rPr>
      <w:sz w:val="26"/>
      <w:szCs w:val="20"/>
      <w:lang w:val="en-AU" w:eastAsia="en-US"/>
    </w:rPr>
  </w:style>
  <w:style w:type="paragraph" w:styleId="Subtitle">
    <w:name w:val="Subtitle"/>
    <w:basedOn w:val="Normal"/>
    <w:qFormat/>
    <w:rsid w:val="007E4C02"/>
    <w:pPr>
      <w:spacing w:after="60"/>
      <w:jc w:val="center"/>
      <w:outlineLvl w:val="1"/>
    </w:pPr>
    <w:rPr>
      <w:rFonts w:ascii="Arial" w:hAnsi="Arial" w:cs="Arial"/>
    </w:rPr>
  </w:style>
  <w:style w:type="character" w:customStyle="1" w:styleId="Heading6Char">
    <w:name w:val="Heading 6 Char"/>
    <w:link w:val="Heading6"/>
    <w:rsid w:val="0020118F"/>
    <w:rPr>
      <w:b/>
      <w:lang w:val="lv-LV" w:eastAsia="en-US" w:bidi="ar-SA"/>
    </w:rPr>
  </w:style>
  <w:style w:type="character" w:customStyle="1" w:styleId="CommentTextChar">
    <w:name w:val="Comment Text Char"/>
    <w:link w:val="CommentText"/>
    <w:rsid w:val="0020118F"/>
    <w:rPr>
      <w:lang w:val="lv-LV" w:eastAsia="lv-LV" w:bidi="ar-SA"/>
    </w:rPr>
  </w:style>
  <w:style w:type="paragraph" w:customStyle="1" w:styleId="CharCharChar">
    <w:name w:val="Char Char Char"/>
    <w:basedOn w:val="Normal"/>
    <w:rsid w:val="00271D3F"/>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4238B7"/>
    <w:pPr>
      <w:widowControl w:val="0"/>
      <w:spacing w:before="60" w:after="60" w:line="360" w:lineRule="auto"/>
      <w:ind w:left="720" w:firstLine="720"/>
      <w:contextualSpacing/>
      <w:jc w:val="both"/>
    </w:pPr>
    <w:rPr>
      <w:sz w:val="26"/>
      <w:szCs w:val="20"/>
      <w:lang w:val="en-AU" w:eastAsia="en-US"/>
    </w:rPr>
  </w:style>
  <w:style w:type="character" w:styleId="CommentReference">
    <w:name w:val="annotation reference"/>
    <w:semiHidden/>
    <w:rsid w:val="00615252"/>
    <w:rPr>
      <w:sz w:val="16"/>
      <w:szCs w:val="16"/>
    </w:rPr>
  </w:style>
  <w:style w:type="paragraph" w:styleId="BalloonText">
    <w:name w:val="Balloon Text"/>
    <w:basedOn w:val="Normal"/>
    <w:semiHidden/>
    <w:rsid w:val="00615252"/>
    <w:rPr>
      <w:rFonts w:ascii="Tahoma" w:hAnsi="Tahoma" w:cs="Tahoma"/>
      <w:sz w:val="16"/>
      <w:szCs w:val="16"/>
    </w:rPr>
  </w:style>
  <w:style w:type="paragraph" w:customStyle="1" w:styleId="naisf">
    <w:name w:val="naisf"/>
    <w:basedOn w:val="Normal"/>
    <w:rsid w:val="00C97396"/>
    <w:pPr>
      <w:spacing w:before="100" w:beforeAutospacing="1" w:after="100" w:afterAutospacing="1"/>
    </w:pPr>
  </w:style>
  <w:style w:type="paragraph" w:customStyle="1" w:styleId="naiskr">
    <w:name w:val="naiskr"/>
    <w:basedOn w:val="Normal"/>
    <w:rsid w:val="00335FDD"/>
    <w:pPr>
      <w:spacing w:before="75" w:after="75"/>
    </w:pPr>
  </w:style>
  <w:style w:type="character" w:customStyle="1" w:styleId="Heading2Char">
    <w:name w:val="Heading 2 Char"/>
    <w:link w:val="Heading2"/>
    <w:locked/>
    <w:rsid w:val="004B3B12"/>
    <w:rPr>
      <w:rFonts w:ascii="Arial" w:hAnsi="Arial" w:cs="Arial"/>
      <w:b/>
      <w:bCs/>
      <w:i/>
      <w:iCs/>
      <w:sz w:val="28"/>
      <w:szCs w:val="28"/>
      <w:lang w:val="lv-LV" w:eastAsia="lv-LV" w:bidi="ar-SA"/>
    </w:rPr>
  </w:style>
  <w:style w:type="paragraph" w:styleId="FootnoteText">
    <w:name w:val="footnote text"/>
    <w:aliases w:val="Footnote,Fußnote"/>
    <w:basedOn w:val="Normal"/>
    <w:link w:val="FootnoteTextChar"/>
    <w:uiPriority w:val="99"/>
    <w:rsid w:val="004B3B12"/>
    <w:rPr>
      <w:rFonts w:eastAsia="Calibri"/>
      <w:sz w:val="20"/>
      <w:szCs w:val="20"/>
      <w:lang w:val="en-GB" w:eastAsia="en-US"/>
    </w:rPr>
  </w:style>
  <w:style w:type="character" w:customStyle="1" w:styleId="FootnoteTextChar">
    <w:name w:val="Footnote Text Char"/>
    <w:aliases w:val="Footnote Char,Fußnote Char"/>
    <w:link w:val="FootnoteText"/>
    <w:uiPriority w:val="99"/>
    <w:locked/>
    <w:rsid w:val="004B3B12"/>
    <w:rPr>
      <w:rFonts w:eastAsia="Calibri"/>
      <w:lang w:val="en-GB" w:eastAsia="en-US" w:bidi="ar-SA"/>
    </w:rPr>
  </w:style>
  <w:style w:type="character" w:styleId="FootnoteReference">
    <w:name w:val="footnote reference"/>
    <w:aliases w:val="Footnote Reference Number"/>
    <w:uiPriority w:val="99"/>
    <w:rsid w:val="004B3B12"/>
    <w:rPr>
      <w:rFonts w:cs="Times New Roman"/>
      <w:vertAlign w:val="superscript"/>
    </w:rPr>
  </w:style>
  <w:style w:type="character" w:customStyle="1" w:styleId="CharChar3">
    <w:name w:val="Char Char3"/>
    <w:locked/>
    <w:rsid w:val="00EB0215"/>
    <w:rPr>
      <w:rFonts w:ascii="Arial" w:hAnsi="Arial" w:cs="Arial"/>
      <w:b/>
      <w:bCs/>
      <w:i/>
      <w:iCs/>
      <w:sz w:val="28"/>
      <w:szCs w:val="28"/>
      <w:lang w:val="lv-LV" w:eastAsia="lv-LV" w:bidi="ar-SA"/>
    </w:rPr>
  </w:style>
  <w:style w:type="paragraph" w:customStyle="1" w:styleId="Default">
    <w:name w:val="Default"/>
    <w:rsid w:val="00926DE5"/>
    <w:pPr>
      <w:autoSpaceDE w:val="0"/>
      <w:autoSpaceDN w:val="0"/>
      <w:adjustRightInd w:val="0"/>
    </w:pPr>
    <w:rPr>
      <w:rFonts w:ascii="Garamond" w:hAnsi="Garamond" w:cs="Garamond"/>
      <w:color w:val="000000"/>
      <w:sz w:val="24"/>
      <w:szCs w:val="24"/>
    </w:rPr>
  </w:style>
  <w:style w:type="character" w:customStyle="1" w:styleId="FooterChar">
    <w:name w:val="Footer Char"/>
    <w:link w:val="Footer"/>
    <w:uiPriority w:val="99"/>
    <w:rsid w:val="009F503F"/>
    <w:rPr>
      <w:sz w:val="24"/>
      <w:szCs w:val="24"/>
    </w:rPr>
  </w:style>
  <w:style w:type="paragraph" w:styleId="EndnoteText">
    <w:name w:val="endnote text"/>
    <w:basedOn w:val="Normal"/>
    <w:link w:val="EndnoteTextChar"/>
    <w:rsid w:val="00655593"/>
    <w:rPr>
      <w:sz w:val="20"/>
      <w:szCs w:val="20"/>
    </w:rPr>
  </w:style>
  <w:style w:type="character" w:customStyle="1" w:styleId="EndnoteTextChar">
    <w:name w:val="Endnote Text Char"/>
    <w:basedOn w:val="DefaultParagraphFont"/>
    <w:link w:val="EndnoteText"/>
    <w:rsid w:val="00655593"/>
  </w:style>
  <w:style w:type="character" w:styleId="EndnoteReference">
    <w:name w:val="endnote reference"/>
    <w:rsid w:val="00655593"/>
    <w:rPr>
      <w:vertAlign w:val="superscript"/>
    </w:rPr>
  </w:style>
  <w:style w:type="paragraph" w:styleId="CommentSubject">
    <w:name w:val="annotation subject"/>
    <w:basedOn w:val="CommentText"/>
    <w:next w:val="CommentText"/>
    <w:link w:val="CommentSubjectChar"/>
    <w:rsid w:val="00231BC8"/>
    <w:rPr>
      <w:b/>
      <w:bCs/>
    </w:rPr>
  </w:style>
  <w:style w:type="character" w:customStyle="1" w:styleId="CommentSubjectChar">
    <w:name w:val="Comment Subject Char"/>
    <w:link w:val="CommentSubject"/>
    <w:rsid w:val="00231BC8"/>
    <w:rPr>
      <w:b/>
      <w:bCs/>
      <w:lang w:val="lv-LV" w:eastAsia="lv-LV" w:bidi="ar-SA"/>
    </w:rPr>
  </w:style>
  <w:style w:type="paragraph" w:customStyle="1" w:styleId="copyright">
    <w:name w:val="copyright"/>
    <w:basedOn w:val="Normal"/>
    <w:rsid w:val="00E030B8"/>
    <w:pPr>
      <w:spacing w:before="100" w:beforeAutospacing="1" w:after="100" w:afterAutospacing="1"/>
    </w:pPr>
  </w:style>
  <w:style w:type="paragraph" w:customStyle="1" w:styleId="author">
    <w:name w:val="author"/>
    <w:basedOn w:val="Normal"/>
    <w:rsid w:val="00E030B8"/>
    <w:pPr>
      <w:spacing w:before="100" w:beforeAutospacing="1" w:after="100" w:afterAutospacing="1"/>
    </w:pPr>
  </w:style>
  <w:style w:type="character" w:customStyle="1" w:styleId="in-widget">
    <w:name w:val="in-widget"/>
    <w:rsid w:val="00E030B8"/>
  </w:style>
  <w:style w:type="character" w:customStyle="1" w:styleId="in-top">
    <w:name w:val="in-top"/>
    <w:rsid w:val="00E030B8"/>
  </w:style>
  <w:style w:type="paragraph" w:customStyle="1" w:styleId="excerpt">
    <w:name w:val="excerpt"/>
    <w:basedOn w:val="Normal"/>
    <w:rsid w:val="00E030B8"/>
    <w:pPr>
      <w:spacing w:before="100" w:beforeAutospacing="1" w:after="100" w:afterAutospacing="1"/>
    </w:pPr>
  </w:style>
  <w:style w:type="paragraph" w:styleId="Revision">
    <w:name w:val="Revision"/>
    <w:hidden/>
    <w:uiPriority w:val="99"/>
    <w:semiHidden/>
    <w:rsid w:val="00B82D41"/>
    <w:rPr>
      <w:sz w:val="24"/>
      <w:szCs w:val="24"/>
    </w:rPr>
  </w:style>
  <w:style w:type="paragraph" w:styleId="BlockText">
    <w:name w:val="Block Text"/>
    <w:basedOn w:val="Normal"/>
    <w:uiPriority w:val="99"/>
    <w:rsid w:val="00366130"/>
    <w:pPr>
      <w:ind w:left="720" w:right="-2" w:hanging="720"/>
      <w:jc w:val="both"/>
    </w:pPr>
    <w:rPr>
      <w:rFonts w:ascii="Times New Roman BaltRim" w:eastAsia="Calibri" w:hAnsi="Times New Roman BaltRim" w:cs="Times New Roman BaltRim"/>
    </w:rPr>
  </w:style>
  <w:style w:type="character" w:customStyle="1" w:styleId="BodyText2Char">
    <w:name w:val="Body Text 2 Char"/>
    <w:basedOn w:val="DefaultParagraphFont"/>
    <w:link w:val="BodyText2"/>
    <w:uiPriority w:val="99"/>
    <w:rsid w:val="009845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4A"/>
    <w:rPr>
      <w:sz w:val="24"/>
      <w:szCs w:val="24"/>
    </w:rPr>
  </w:style>
  <w:style w:type="paragraph" w:styleId="Heading1">
    <w:name w:val="heading 1"/>
    <w:basedOn w:val="Normal"/>
    <w:next w:val="Normal"/>
    <w:qFormat/>
    <w:rsid w:val="00782F90"/>
    <w:pPr>
      <w:keepNext/>
      <w:jc w:val="center"/>
      <w:outlineLvl w:val="0"/>
    </w:pPr>
    <w:rPr>
      <w:b/>
      <w:szCs w:val="20"/>
      <w:lang w:eastAsia="en-US"/>
    </w:rPr>
  </w:style>
  <w:style w:type="paragraph" w:styleId="Heading2">
    <w:name w:val="heading 2"/>
    <w:basedOn w:val="Normal"/>
    <w:next w:val="Normal"/>
    <w:link w:val="Heading2Char"/>
    <w:qFormat/>
    <w:rsid w:val="004B3B12"/>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20118F"/>
    <w:pPr>
      <w:keepNext/>
      <w:jc w:val="center"/>
      <w:outlineLvl w:val="5"/>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595603"/>
    <w:pPr>
      <w:spacing w:after="120" w:line="480" w:lineRule="auto"/>
    </w:pPr>
  </w:style>
  <w:style w:type="paragraph" w:styleId="Header">
    <w:name w:val="header"/>
    <w:basedOn w:val="Normal"/>
    <w:rsid w:val="000153D4"/>
    <w:pPr>
      <w:tabs>
        <w:tab w:val="center" w:pos="4153"/>
        <w:tab w:val="right" w:pos="8306"/>
      </w:tabs>
    </w:pPr>
  </w:style>
  <w:style w:type="character" w:styleId="PageNumber">
    <w:name w:val="page number"/>
    <w:basedOn w:val="DefaultParagraphFont"/>
    <w:rsid w:val="000153D4"/>
  </w:style>
  <w:style w:type="paragraph" w:styleId="Footer">
    <w:name w:val="footer"/>
    <w:basedOn w:val="Normal"/>
    <w:link w:val="FooterChar"/>
    <w:rsid w:val="000153D4"/>
    <w:pPr>
      <w:tabs>
        <w:tab w:val="center" w:pos="4153"/>
        <w:tab w:val="right" w:pos="8306"/>
      </w:tabs>
    </w:pPr>
  </w:style>
  <w:style w:type="paragraph" w:styleId="BodyText">
    <w:name w:val="Body Text"/>
    <w:basedOn w:val="Normal"/>
    <w:rsid w:val="00782F90"/>
    <w:pPr>
      <w:spacing w:after="120"/>
    </w:pPr>
  </w:style>
  <w:style w:type="table" w:styleId="TableGrid">
    <w:name w:val="Table Grid"/>
    <w:basedOn w:val="TableNormal"/>
    <w:uiPriority w:val="59"/>
    <w:rsid w:val="00BB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B753B"/>
    <w:pPr>
      <w:spacing w:after="120" w:line="480" w:lineRule="auto"/>
      <w:ind w:left="283"/>
    </w:pPr>
  </w:style>
  <w:style w:type="paragraph" w:styleId="NormalWeb">
    <w:name w:val="Normal (Web)"/>
    <w:basedOn w:val="Normal"/>
    <w:uiPriority w:val="99"/>
    <w:rsid w:val="009B186D"/>
    <w:pPr>
      <w:spacing w:before="100" w:beforeAutospacing="1" w:after="100" w:afterAutospacing="1"/>
    </w:pPr>
  </w:style>
  <w:style w:type="paragraph" w:styleId="Caption">
    <w:name w:val="caption"/>
    <w:basedOn w:val="Normal"/>
    <w:next w:val="Normal"/>
    <w:qFormat/>
    <w:rsid w:val="00FC361A"/>
    <w:rPr>
      <w:b/>
      <w:bCs/>
      <w:sz w:val="20"/>
      <w:szCs w:val="20"/>
    </w:rPr>
  </w:style>
  <w:style w:type="paragraph" w:styleId="CommentText">
    <w:name w:val="annotation text"/>
    <w:basedOn w:val="Normal"/>
    <w:link w:val="CommentTextChar"/>
    <w:semiHidden/>
    <w:rsid w:val="00147177"/>
    <w:rPr>
      <w:sz w:val="20"/>
      <w:szCs w:val="20"/>
    </w:rPr>
  </w:style>
  <w:style w:type="paragraph" w:styleId="BodyTextIndent">
    <w:name w:val="Body Text Indent"/>
    <w:basedOn w:val="Normal"/>
    <w:rsid w:val="001114C6"/>
    <w:pPr>
      <w:spacing w:after="120"/>
      <w:ind w:left="283"/>
    </w:pPr>
  </w:style>
  <w:style w:type="character" w:styleId="Strong">
    <w:name w:val="Strong"/>
    <w:uiPriority w:val="22"/>
    <w:qFormat/>
    <w:rsid w:val="00F24D2E"/>
    <w:rPr>
      <w:b/>
      <w:bCs/>
    </w:rPr>
  </w:style>
  <w:style w:type="paragraph" w:customStyle="1" w:styleId="raksts">
    <w:name w:val="raksts"/>
    <w:basedOn w:val="Normal"/>
    <w:rsid w:val="00E84595"/>
    <w:pPr>
      <w:spacing w:before="100" w:beforeAutospacing="1" w:after="100" w:afterAutospacing="1"/>
      <w:jc w:val="both"/>
    </w:pPr>
    <w:rPr>
      <w:rFonts w:ascii="Verdana" w:hAnsi="Verdana"/>
      <w:sz w:val="20"/>
      <w:szCs w:val="20"/>
    </w:rPr>
  </w:style>
  <w:style w:type="character" w:styleId="Hyperlink">
    <w:name w:val="Hyperlink"/>
    <w:rsid w:val="009548A5"/>
    <w:rPr>
      <w:color w:val="0000FF"/>
      <w:u w:val="single"/>
    </w:rPr>
  </w:style>
  <w:style w:type="paragraph" w:styleId="EnvelopeAddress">
    <w:name w:val="envelope address"/>
    <w:basedOn w:val="Normal"/>
    <w:next w:val="Subtitle"/>
    <w:rsid w:val="007E4C02"/>
    <w:pPr>
      <w:keepNext/>
      <w:keepLines/>
      <w:widowControl w:val="0"/>
      <w:spacing w:before="60" w:after="60"/>
      <w:ind w:left="5103"/>
    </w:pPr>
    <w:rPr>
      <w:sz w:val="26"/>
      <w:szCs w:val="20"/>
      <w:lang w:val="en-AU" w:eastAsia="en-US"/>
    </w:rPr>
  </w:style>
  <w:style w:type="paragraph" w:styleId="Subtitle">
    <w:name w:val="Subtitle"/>
    <w:basedOn w:val="Normal"/>
    <w:qFormat/>
    <w:rsid w:val="007E4C02"/>
    <w:pPr>
      <w:spacing w:after="60"/>
      <w:jc w:val="center"/>
      <w:outlineLvl w:val="1"/>
    </w:pPr>
    <w:rPr>
      <w:rFonts w:ascii="Arial" w:hAnsi="Arial" w:cs="Arial"/>
    </w:rPr>
  </w:style>
  <w:style w:type="character" w:customStyle="1" w:styleId="Heading6Char">
    <w:name w:val="Heading 6 Char"/>
    <w:link w:val="Heading6"/>
    <w:rsid w:val="0020118F"/>
    <w:rPr>
      <w:b/>
      <w:lang w:val="lv-LV" w:eastAsia="en-US" w:bidi="ar-SA"/>
    </w:rPr>
  </w:style>
  <w:style w:type="character" w:customStyle="1" w:styleId="CommentTextChar">
    <w:name w:val="Comment Text Char"/>
    <w:link w:val="CommentText"/>
    <w:rsid w:val="0020118F"/>
    <w:rPr>
      <w:lang w:val="lv-LV" w:eastAsia="lv-LV" w:bidi="ar-SA"/>
    </w:rPr>
  </w:style>
  <w:style w:type="paragraph" w:customStyle="1" w:styleId="CharCharChar">
    <w:name w:val="Char Char Char"/>
    <w:basedOn w:val="Normal"/>
    <w:rsid w:val="00271D3F"/>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4238B7"/>
    <w:pPr>
      <w:widowControl w:val="0"/>
      <w:spacing w:before="60" w:after="60" w:line="360" w:lineRule="auto"/>
      <w:ind w:left="720" w:firstLine="720"/>
      <w:contextualSpacing/>
      <w:jc w:val="both"/>
    </w:pPr>
    <w:rPr>
      <w:sz w:val="26"/>
      <w:szCs w:val="20"/>
      <w:lang w:val="en-AU" w:eastAsia="en-US"/>
    </w:rPr>
  </w:style>
  <w:style w:type="character" w:styleId="CommentReference">
    <w:name w:val="annotation reference"/>
    <w:semiHidden/>
    <w:rsid w:val="00615252"/>
    <w:rPr>
      <w:sz w:val="16"/>
      <w:szCs w:val="16"/>
    </w:rPr>
  </w:style>
  <w:style w:type="paragraph" w:styleId="BalloonText">
    <w:name w:val="Balloon Text"/>
    <w:basedOn w:val="Normal"/>
    <w:semiHidden/>
    <w:rsid w:val="00615252"/>
    <w:rPr>
      <w:rFonts w:ascii="Tahoma" w:hAnsi="Tahoma" w:cs="Tahoma"/>
      <w:sz w:val="16"/>
      <w:szCs w:val="16"/>
    </w:rPr>
  </w:style>
  <w:style w:type="paragraph" w:customStyle="1" w:styleId="naisf">
    <w:name w:val="naisf"/>
    <w:basedOn w:val="Normal"/>
    <w:rsid w:val="00C97396"/>
    <w:pPr>
      <w:spacing w:before="100" w:beforeAutospacing="1" w:after="100" w:afterAutospacing="1"/>
    </w:pPr>
  </w:style>
  <w:style w:type="paragraph" w:customStyle="1" w:styleId="naiskr">
    <w:name w:val="naiskr"/>
    <w:basedOn w:val="Normal"/>
    <w:rsid w:val="00335FDD"/>
    <w:pPr>
      <w:spacing w:before="75" w:after="75"/>
    </w:pPr>
  </w:style>
  <w:style w:type="character" w:customStyle="1" w:styleId="Heading2Char">
    <w:name w:val="Heading 2 Char"/>
    <w:link w:val="Heading2"/>
    <w:locked/>
    <w:rsid w:val="004B3B12"/>
    <w:rPr>
      <w:rFonts w:ascii="Arial" w:hAnsi="Arial" w:cs="Arial"/>
      <w:b/>
      <w:bCs/>
      <w:i/>
      <w:iCs/>
      <w:sz w:val="28"/>
      <w:szCs w:val="28"/>
      <w:lang w:val="lv-LV" w:eastAsia="lv-LV" w:bidi="ar-SA"/>
    </w:rPr>
  </w:style>
  <w:style w:type="paragraph" w:styleId="FootnoteText">
    <w:name w:val="footnote text"/>
    <w:aliases w:val="Footnote,Fußnote"/>
    <w:basedOn w:val="Normal"/>
    <w:link w:val="FootnoteTextChar"/>
    <w:uiPriority w:val="99"/>
    <w:rsid w:val="004B3B12"/>
    <w:rPr>
      <w:rFonts w:eastAsia="Calibri"/>
      <w:sz w:val="20"/>
      <w:szCs w:val="20"/>
      <w:lang w:val="en-GB" w:eastAsia="en-US"/>
    </w:rPr>
  </w:style>
  <w:style w:type="character" w:customStyle="1" w:styleId="FootnoteTextChar">
    <w:name w:val="Footnote Text Char"/>
    <w:aliases w:val="Footnote Char,Fußnote Char"/>
    <w:link w:val="FootnoteText"/>
    <w:uiPriority w:val="99"/>
    <w:locked/>
    <w:rsid w:val="004B3B12"/>
    <w:rPr>
      <w:rFonts w:eastAsia="Calibri"/>
      <w:lang w:val="en-GB" w:eastAsia="en-US" w:bidi="ar-SA"/>
    </w:rPr>
  </w:style>
  <w:style w:type="character" w:styleId="FootnoteReference">
    <w:name w:val="footnote reference"/>
    <w:aliases w:val="Footnote Reference Number"/>
    <w:uiPriority w:val="99"/>
    <w:rsid w:val="004B3B12"/>
    <w:rPr>
      <w:rFonts w:cs="Times New Roman"/>
      <w:vertAlign w:val="superscript"/>
    </w:rPr>
  </w:style>
  <w:style w:type="character" w:customStyle="1" w:styleId="CharChar3">
    <w:name w:val="Char Char3"/>
    <w:locked/>
    <w:rsid w:val="00EB0215"/>
    <w:rPr>
      <w:rFonts w:ascii="Arial" w:hAnsi="Arial" w:cs="Arial"/>
      <w:b/>
      <w:bCs/>
      <w:i/>
      <w:iCs/>
      <w:sz w:val="28"/>
      <w:szCs w:val="28"/>
      <w:lang w:val="lv-LV" w:eastAsia="lv-LV" w:bidi="ar-SA"/>
    </w:rPr>
  </w:style>
  <w:style w:type="paragraph" w:customStyle="1" w:styleId="Default">
    <w:name w:val="Default"/>
    <w:rsid w:val="00926DE5"/>
    <w:pPr>
      <w:autoSpaceDE w:val="0"/>
      <w:autoSpaceDN w:val="0"/>
      <w:adjustRightInd w:val="0"/>
    </w:pPr>
    <w:rPr>
      <w:rFonts w:ascii="Garamond" w:hAnsi="Garamond" w:cs="Garamond"/>
      <w:color w:val="000000"/>
      <w:sz w:val="24"/>
      <w:szCs w:val="24"/>
    </w:rPr>
  </w:style>
  <w:style w:type="character" w:customStyle="1" w:styleId="FooterChar">
    <w:name w:val="Footer Char"/>
    <w:link w:val="Footer"/>
    <w:uiPriority w:val="99"/>
    <w:rsid w:val="009F503F"/>
    <w:rPr>
      <w:sz w:val="24"/>
      <w:szCs w:val="24"/>
    </w:rPr>
  </w:style>
  <w:style w:type="paragraph" w:styleId="EndnoteText">
    <w:name w:val="endnote text"/>
    <w:basedOn w:val="Normal"/>
    <w:link w:val="EndnoteTextChar"/>
    <w:rsid w:val="00655593"/>
    <w:rPr>
      <w:sz w:val="20"/>
      <w:szCs w:val="20"/>
    </w:rPr>
  </w:style>
  <w:style w:type="character" w:customStyle="1" w:styleId="EndnoteTextChar">
    <w:name w:val="Endnote Text Char"/>
    <w:basedOn w:val="DefaultParagraphFont"/>
    <w:link w:val="EndnoteText"/>
    <w:rsid w:val="00655593"/>
  </w:style>
  <w:style w:type="character" w:styleId="EndnoteReference">
    <w:name w:val="endnote reference"/>
    <w:rsid w:val="00655593"/>
    <w:rPr>
      <w:vertAlign w:val="superscript"/>
    </w:rPr>
  </w:style>
  <w:style w:type="paragraph" w:styleId="CommentSubject">
    <w:name w:val="annotation subject"/>
    <w:basedOn w:val="CommentText"/>
    <w:next w:val="CommentText"/>
    <w:link w:val="CommentSubjectChar"/>
    <w:rsid w:val="00231BC8"/>
    <w:rPr>
      <w:b/>
      <w:bCs/>
    </w:rPr>
  </w:style>
  <w:style w:type="character" w:customStyle="1" w:styleId="CommentSubjectChar">
    <w:name w:val="Comment Subject Char"/>
    <w:link w:val="CommentSubject"/>
    <w:rsid w:val="00231BC8"/>
    <w:rPr>
      <w:b/>
      <w:bCs/>
      <w:lang w:val="lv-LV" w:eastAsia="lv-LV" w:bidi="ar-SA"/>
    </w:rPr>
  </w:style>
  <w:style w:type="paragraph" w:customStyle="1" w:styleId="copyright">
    <w:name w:val="copyright"/>
    <w:basedOn w:val="Normal"/>
    <w:rsid w:val="00E030B8"/>
    <w:pPr>
      <w:spacing w:before="100" w:beforeAutospacing="1" w:after="100" w:afterAutospacing="1"/>
    </w:pPr>
  </w:style>
  <w:style w:type="paragraph" w:customStyle="1" w:styleId="author">
    <w:name w:val="author"/>
    <w:basedOn w:val="Normal"/>
    <w:rsid w:val="00E030B8"/>
    <w:pPr>
      <w:spacing w:before="100" w:beforeAutospacing="1" w:after="100" w:afterAutospacing="1"/>
    </w:pPr>
  </w:style>
  <w:style w:type="character" w:customStyle="1" w:styleId="in-widget">
    <w:name w:val="in-widget"/>
    <w:rsid w:val="00E030B8"/>
  </w:style>
  <w:style w:type="character" w:customStyle="1" w:styleId="in-top">
    <w:name w:val="in-top"/>
    <w:rsid w:val="00E030B8"/>
  </w:style>
  <w:style w:type="paragraph" w:customStyle="1" w:styleId="excerpt">
    <w:name w:val="excerpt"/>
    <w:basedOn w:val="Normal"/>
    <w:rsid w:val="00E030B8"/>
    <w:pPr>
      <w:spacing w:before="100" w:beforeAutospacing="1" w:after="100" w:afterAutospacing="1"/>
    </w:pPr>
  </w:style>
  <w:style w:type="paragraph" w:styleId="Revision">
    <w:name w:val="Revision"/>
    <w:hidden/>
    <w:uiPriority w:val="99"/>
    <w:semiHidden/>
    <w:rsid w:val="00B82D41"/>
    <w:rPr>
      <w:sz w:val="24"/>
      <w:szCs w:val="24"/>
    </w:rPr>
  </w:style>
  <w:style w:type="paragraph" w:styleId="BlockText">
    <w:name w:val="Block Text"/>
    <w:basedOn w:val="Normal"/>
    <w:uiPriority w:val="99"/>
    <w:rsid w:val="00366130"/>
    <w:pPr>
      <w:ind w:left="720" w:right="-2" w:hanging="720"/>
      <w:jc w:val="both"/>
    </w:pPr>
    <w:rPr>
      <w:rFonts w:ascii="Times New Roman BaltRim" w:eastAsia="Calibri" w:hAnsi="Times New Roman BaltRim" w:cs="Times New Roman BaltRim"/>
    </w:rPr>
  </w:style>
  <w:style w:type="character" w:customStyle="1" w:styleId="BodyText2Char">
    <w:name w:val="Body Text 2 Char"/>
    <w:basedOn w:val="DefaultParagraphFont"/>
    <w:link w:val="BodyText2"/>
    <w:uiPriority w:val="99"/>
    <w:rsid w:val="009845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0752">
      <w:bodyDiv w:val="1"/>
      <w:marLeft w:val="0"/>
      <w:marRight w:val="0"/>
      <w:marTop w:val="0"/>
      <w:marBottom w:val="0"/>
      <w:divBdr>
        <w:top w:val="none" w:sz="0" w:space="0" w:color="auto"/>
        <w:left w:val="none" w:sz="0" w:space="0" w:color="auto"/>
        <w:bottom w:val="none" w:sz="0" w:space="0" w:color="auto"/>
        <w:right w:val="none" w:sz="0" w:space="0" w:color="auto"/>
      </w:divBdr>
    </w:div>
    <w:div w:id="1085421358">
      <w:bodyDiv w:val="1"/>
      <w:marLeft w:val="0"/>
      <w:marRight w:val="0"/>
      <w:marTop w:val="0"/>
      <w:marBottom w:val="0"/>
      <w:divBdr>
        <w:top w:val="none" w:sz="0" w:space="0" w:color="auto"/>
        <w:left w:val="none" w:sz="0" w:space="0" w:color="auto"/>
        <w:bottom w:val="none" w:sz="0" w:space="0" w:color="auto"/>
        <w:right w:val="none" w:sz="0" w:space="0" w:color="auto"/>
      </w:divBdr>
    </w:div>
    <w:div w:id="1113405655">
      <w:bodyDiv w:val="1"/>
      <w:marLeft w:val="0"/>
      <w:marRight w:val="0"/>
      <w:marTop w:val="0"/>
      <w:marBottom w:val="0"/>
      <w:divBdr>
        <w:top w:val="none" w:sz="0" w:space="0" w:color="auto"/>
        <w:left w:val="none" w:sz="0" w:space="0" w:color="auto"/>
        <w:bottom w:val="none" w:sz="0" w:space="0" w:color="auto"/>
        <w:right w:val="none" w:sz="0" w:space="0" w:color="auto"/>
      </w:divBdr>
      <w:divsChild>
        <w:div w:id="138807443">
          <w:marLeft w:val="0"/>
          <w:marRight w:val="0"/>
          <w:marTop w:val="0"/>
          <w:marBottom w:val="0"/>
          <w:divBdr>
            <w:top w:val="none" w:sz="0" w:space="0" w:color="auto"/>
            <w:left w:val="none" w:sz="0" w:space="0" w:color="auto"/>
            <w:bottom w:val="none" w:sz="0" w:space="0" w:color="auto"/>
            <w:right w:val="none" w:sz="0" w:space="0" w:color="auto"/>
          </w:divBdr>
          <w:divsChild>
            <w:div w:id="1581407672">
              <w:marLeft w:val="0"/>
              <w:marRight w:val="0"/>
              <w:marTop w:val="0"/>
              <w:marBottom w:val="0"/>
              <w:divBdr>
                <w:top w:val="none" w:sz="0" w:space="0" w:color="auto"/>
                <w:left w:val="none" w:sz="0" w:space="0" w:color="auto"/>
                <w:bottom w:val="none" w:sz="0" w:space="0" w:color="auto"/>
                <w:right w:val="none" w:sz="0" w:space="0" w:color="auto"/>
              </w:divBdr>
            </w:div>
          </w:divsChild>
        </w:div>
        <w:div w:id="1611208057">
          <w:marLeft w:val="0"/>
          <w:marRight w:val="0"/>
          <w:marTop w:val="0"/>
          <w:marBottom w:val="0"/>
          <w:divBdr>
            <w:top w:val="none" w:sz="0" w:space="0" w:color="auto"/>
            <w:left w:val="none" w:sz="0" w:space="0" w:color="auto"/>
            <w:bottom w:val="none" w:sz="0" w:space="0" w:color="auto"/>
            <w:right w:val="none" w:sz="0" w:space="0" w:color="auto"/>
          </w:divBdr>
          <w:divsChild>
            <w:div w:id="1762139754">
              <w:marLeft w:val="0"/>
              <w:marRight w:val="0"/>
              <w:marTop w:val="0"/>
              <w:marBottom w:val="0"/>
              <w:divBdr>
                <w:top w:val="none" w:sz="0" w:space="0" w:color="auto"/>
                <w:left w:val="none" w:sz="0" w:space="0" w:color="auto"/>
                <w:bottom w:val="none" w:sz="0" w:space="0" w:color="auto"/>
                <w:right w:val="none" w:sz="0" w:space="0" w:color="auto"/>
              </w:divBdr>
              <w:divsChild>
                <w:div w:id="1960644859">
                  <w:marLeft w:val="0"/>
                  <w:marRight w:val="0"/>
                  <w:marTop w:val="0"/>
                  <w:marBottom w:val="0"/>
                  <w:divBdr>
                    <w:top w:val="none" w:sz="0" w:space="0" w:color="auto"/>
                    <w:left w:val="none" w:sz="0" w:space="0" w:color="auto"/>
                    <w:bottom w:val="none" w:sz="0" w:space="0" w:color="auto"/>
                    <w:right w:val="none" w:sz="0" w:space="0" w:color="auto"/>
                  </w:divBdr>
                  <w:divsChild>
                    <w:div w:id="1181580767">
                      <w:marLeft w:val="0"/>
                      <w:marRight w:val="0"/>
                      <w:marTop w:val="0"/>
                      <w:marBottom w:val="0"/>
                      <w:divBdr>
                        <w:top w:val="none" w:sz="0" w:space="0" w:color="auto"/>
                        <w:left w:val="none" w:sz="0" w:space="0" w:color="auto"/>
                        <w:bottom w:val="none" w:sz="0" w:space="0" w:color="auto"/>
                        <w:right w:val="none" w:sz="0" w:space="0" w:color="auto"/>
                      </w:divBdr>
                      <w:divsChild>
                        <w:div w:id="858130249">
                          <w:marLeft w:val="0"/>
                          <w:marRight w:val="0"/>
                          <w:marTop w:val="0"/>
                          <w:marBottom w:val="0"/>
                          <w:divBdr>
                            <w:top w:val="none" w:sz="0" w:space="0" w:color="auto"/>
                            <w:left w:val="none" w:sz="0" w:space="0" w:color="auto"/>
                            <w:bottom w:val="none" w:sz="0" w:space="0" w:color="auto"/>
                            <w:right w:val="none" w:sz="0" w:space="0" w:color="auto"/>
                          </w:divBdr>
                        </w:div>
                        <w:div w:id="2036927234">
                          <w:marLeft w:val="0"/>
                          <w:marRight w:val="0"/>
                          <w:marTop w:val="0"/>
                          <w:marBottom w:val="0"/>
                          <w:divBdr>
                            <w:top w:val="none" w:sz="0" w:space="0" w:color="auto"/>
                            <w:left w:val="none" w:sz="0" w:space="0" w:color="auto"/>
                            <w:bottom w:val="none" w:sz="0" w:space="0" w:color="auto"/>
                            <w:right w:val="none" w:sz="0" w:space="0" w:color="auto"/>
                          </w:divBdr>
                          <w:divsChild>
                            <w:div w:id="1919904729">
                              <w:marLeft w:val="0"/>
                              <w:marRight w:val="0"/>
                              <w:marTop w:val="0"/>
                              <w:marBottom w:val="0"/>
                              <w:divBdr>
                                <w:top w:val="none" w:sz="0" w:space="0" w:color="auto"/>
                                <w:left w:val="none" w:sz="0" w:space="0" w:color="auto"/>
                                <w:bottom w:val="none" w:sz="0" w:space="0" w:color="auto"/>
                                <w:right w:val="none" w:sz="0" w:space="0" w:color="auto"/>
                              </w:divBdr>
                              <w:divsChild>
                                <w:div w:id="431122048">
                                  <w:marLeft w:val="0"/>
                                  <w:marRight w:val="0"/>
                                  <w:marTop w:val="0"/>
                                  <w:marBottom w:val="0"/>
                                  <w:divBdr>
                                    <w:top w:val="none" w:sz="0" w:space="0" w:color="auto"/>
                                    <w:left w:val="none" w:sz="0" w:space="0" w:color="auto"/>
                                    <w:bottom w:val="none" w:sz="0" w:space="0" w:color="auto"/>
                                    <w:right w:val="none" w:sz="0" w:space="0" w:color="auto"/>
                                  </w:divBdr>
                                  <w:divsChild>
                                    <w:div w:id="1737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56353">
      <w:bodyDiv w:val="1"/>
      <w:marLeft w:val="0"/>
      <w:marRight w:val="0"/>
      <w:marTop w:val="0"/>
      <w:marBottom w:val="0"/>
      <w:divBdr>
        <w:top w:val="none" w:sz="0" w:space="0" w:color="auto"/>
        <w:left w:val="none" w:sz="0" w:space="0" w:color="auto"/>
        <w:bottom w:val="none" w:sz="0" w:space="0" w:color="auto"/>
        <w:right w:val="none" w:sz="0" w:space="0" w:color="auto"/>
      </w:divBdr>
    </w:div>
    <w:div w:id="1494446286">
      <w:bodyDiv w:val="1"/>
      <w:marLeft w:val="0"/>
      <w:marRight w:val="0"/>
      <w:marTop w:val="0"/>
      <w:marBottom w:val="0"/>
      <w:divBdr>
        <w:top w:val="none" w:sz="0" w:space="0" w:color="auto"/>
        <w:left w:val="none" w:sz="0" w:space="0" w:color="auto"/>
        <w:bottom w:val="none" w:sz="0" w:space="0" w:color="auto"/>
        <w:right w:val="none" w:sz="0" w:space="0" w:color="auto"/>
      </w:divBdr>
      <w:divsChild>
        <w:div w:id="1598321068">
          <w:marLeft w:val="0"/>
          <w:marRight w:val="0"/>
          <w:marTop w:val="0"/>
          <w:marBottom w:val="0"/>
          <w:divBdr>
            <w:top w:val="none" w:sz="0" w:space="0" w:color="auto"/>
            <w:left w:val="none" w:sz="0" w:space="0" w:color="auto"/>
            <w:bottom w:val="none" w:sz="0" w:space="0" w:color="auto"/>
            <w:right w:val="none" w:sz="0" w:space="0" w:color="auto"/>
          </w:divBdr>
        </w:div>
        <w:div w:id="2077437796">
          <w:marLeft w:val="0"/>
          <w:marRight w:val="0"/>
          <w:marTop w:val="0"/>
          <w:marBottom w:val="0"/>
          <w:divBdr>
            <w:top w:val="none" w:sz="0" w:space="0" w:color="auto"/>
            <w:left w:val="none" w:sz="0" w:space="0" w:color="auto"/>
            <w:bottom w:val="none" w:sz="0" w:space="0" w:color="auto"/>
            <w:right w:val="none" w:sz="0" w:space="0" w:color="auto"/>
          </w:divBdr>
        </w:div>
        <w:div w:id="532153182">
          <w:marLeft w:val="0"/>
          <w:marRight w:val="0"/>
          <w:marTop w:val="0"/>
          <w:marBottom w:val="0"/>
          <w:divBdr>
            <w:top w:val="none" w:sz="0" w:space="0" w:color="auto"/>
            <w:left w:val="none" w:sz="0" w:space="0" w:color="auto"/>
            <w:bottom w:val="none" w:sz="0" w:space="0" w:color="auto"/>
            <w:right w:val="none" w:sz="0" w:space="0" w:color="auto"/>
          </w:divBdr>
        </w:div>
        <w:div w:id="904267417">
          <w:marLeft w:val="0"/>
          <w:marRight w:val="0"/>
          <w:marTop w:val="0"/>
          <w:marBottom w:val="0"/>
          <w:divBdr>
            <w:top w:val="none" w:sz="0" w:space="0" w:color="auto"/>
            <w:left w:val="none" w:sz="0" w:space="0" w:color="auto"/>
            <w:bottom w:val="none" w:sz="0" w:space="0" w:color="auto"/>
            <w:right w:val="none" w:sz="0" w:space="0" w:color="auto"/>
          </w:divBdr>
        </w:div>
        <w:div w:id="824393084">
          <w:marLeft w:val="0"/>
          <w:marRight w:val="0"/>
          <w:marTop w:val="0"/>
          <w:marBottom w:val="0"/>
          <w:divBdr>
            <w:top w:val="none" w:sz="0" w:space="0" w:color="auto"/>
            <w:left w:val="none" w:sz="0" w:space="0" w:color="auto"/>
            <w:bottom w:val="none" w:sz="0" w:space="0" w:color="auto"/>
            <w:right w:val="none" w:sz="0" w:space="0" w:color="auto"/>
          </w:divBdr>
        </w:div>
        <w:div w:id="1537346841">
          <w:marLeft w:val="0"/>
          <w:marRight w:val="0"/>
          <w:marTop w:val="0"/>
          <w:marBottom w:val="0"/>
          <w:divBdr>
            <w:top w:val="none" w:sz="0" w:space="0" w:color="auto"/>
            <w:left w:val="none" w:sz="0" w:space="0" w:color="auto"/>
            <w:bottom w:val="none" w:sz="0" w:space="0" w:color="auto"/>
            <w:right w:val="none" w:sz="0" w:space="0" w:color="auto"/>
          </w:divBdr>
        </w:div>
        <w:div w:id="271672534">
          <w:marLeft w:val="0"/>
          <w:marRight w:val="0"/>
          <w:marTop w:val="0"/>
          <w:marBottom w:val="0"/>
          <w:divBdr>
            <w:top w:val="none" w:sz="0" w:space="0" w:color="auto"/>
            <w:left w:val="none" w:sz="0" w:space="0" w:color="auto"/>
            <w:bottom w:val="none" w:sz="0" w:space="0" w:color="auto"/>
            <w:right w:val="none" w:sz="0" w:space="0" w:color="auto"/>
          </w:divBdr>
        </w:div>
        <w:div w:id="179583881">
          <w:marLeft w:val="0"/>
          <w:marRight w:val="0"/>
          <w:marTop w:val="0"/>
          <w:marBottom w:val="0"/>
          <w:divBdr>
            <w:top w:val="none" w:sz="0" w:space="0" w:color="auto"/>
            <w:left w:val="none" w:sz="0" w:space="0" w:color="auto"/>
            <w:bottom w:val="none" w:sz="0" w:space="0" w:color="auto"/>
            <w:right w:val="none" w:sz="0" w:space="0" w:color="auto"/>
          </w:divBdr>
        </w:div>
        <w:div w:id="159732899">
          <w:marLeft w:val="0"/>
          <w:marRight w:val="0"/>
          <w:marTop w:val="0"/>
          <w:marBottom w:val="0"/>
          <w:divBdr>
            <w:top w:val="none" w:sz="0" w:space="0" w:color="auto"/>
            <w:left w:val="none" w:sz="0" w:space="0" w:color="auto"/>
            <w:bottom w:val="none" w:sz="0" w:space="0" w:color="auto"/>
            <w:right w:val="none" w:sz="0" w:space="0" w:color="auto"/>
          </w:divBdr>
        </w:div>
        <w:div w:id="251359359">
          <w:marLeft w:val="0"/>
          <w:marRight w:val="0"/>
          <w:marTop w:val="0"/>
          <w:marBottom w:val="0"/>
          <w:divBdr>
            <w:top w:val="none" w:sz="0" w:space="0" w:color="auto"/>
            <w:left w:val="none" w:sz="0" w:space="0" w:color="auto"/>
            <w:bottom w:val="none" w:sz="0" w:space="0" w:color="auto"/>
            <w:right w:val="none" w:sz="0" w:space="0" w:color="auto"/>
          </w:divBdr>
        </w:div>
        <w:div w:id="1559509005">
          <w:marLeft w:val="0"/>
          <w:marRight w:val="0"/>
          <w:marTop w:val="0"/>
          <w:marBottom w:val="0"/>
          <w:divBdr>
            <w:top w:val="none" w:sz="0" w:space="0" w:color="auto"/>
            <w:left w:val="none" w:sz="0" w:space="0" w:color="auto"/>
            <w:bottom w:val="none" w:sz="0" w:space="0" w:color="auto"/>
            <w:right w:val="none" w:sz="0" w:space="0" w:color="auto"/>
          </w:divBdr>
        </w:div>
      </w:divsChild>
    </w:div>
    <w:div w:id="1656182128">
      <w:bodyDiv w:val="1"/>
      <w:marLeft w:val="0"/>
      <w:marRight w:val="0"/>
      <w:marTop w:val="0"/>
      <w:marBottom w:val="0"/>
      <w:divBdr>
        <w:top w:val="none" w:sz="0" w:space="0" w:color="auto"/>
        <w:left w:val="none" w:sz="0" w:space="0" w:color="auto"/>
        <w:bottom w:val="none" w:sz="0" w:space="0" w:color="auto"/>
        <w:right w:val="none" w:sz="0" w:space="0" w:color="auto"/>
      </w:divBdr>
    </w:div>
    <w:div w:id="2078628877">
      <w:bodyDiv w:val="1"/>
      <w:marLeft w:val="0"/>
      <w:marRight w:val="0"/>
      <w:marTop w:val="0"/>
      <w:marBottom w:val="0"/>
      <w:divBdr>
        <w:top w:val="none" w:sz="0" w:space="0" w:color="auto"/>
        <w:left w:val="none" w:sz="0" w:space="0" w:color="auto"/>
        <w:bottom w:val="none" w:sz="0" w:space="0" w:color="auto"/>
        <w:right w:val="none" w:sz="0" w:space="0" w:color="auto"/>
      </w:divBdr>
      <w:divsChild>
        <w:div w:id="1481769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37C78-5068-4C98-AEDF-44957C84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25840</Words>
  <Characters>14729</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Priekšlikumi par minimālās mēneša darba algas apmēru 2015.gadā</vt:lpstr>
    </vt:vector>
  </TitlesOfParts>
  <Company>Labklājības ministrija</Company>
  <LinksUpToDate>false</LinksUpToDate>
  <CharactersWithSpaces>40489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Priekšlikumi par minimālās mēneša darba algas apmēru 2015.gadā</dc:title>
  <dc:subject>Informatīvais ziņojums</dc:subject>
  <dc:creator>Aina Liepiņa</dc:creator>
  <dc:description>Aina.Liepina@lm.gov.lv
Tālr.67021519, fakss.67021505</dc:description>
  <cp:lastModifiedBy>Laura Titane</cp:lastModifiedBy>
  <cp:revision>4</cp:revision>
  <cp:lastPrinted>2015-04-22T08:30:00Z</cp:lastPrinted>
  <dcterms:created xsi:type="dcterms:W3CDTF">2015-06-01T12:46:00Z</dcterms:created>
  <dcterms:modified xsi:type="dcterms:W3CDTF">2015-06-16T13:58:00Z</dcterms:modified>
</cp:coreProperties>
</file>