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AF" w:rsidRDefault="00786DAF" w:rsidP="002C22B9">
      <w:pPr>
        <w:jc w:val="center"/>
        <w:rPr>
          <w:sz w:val="20"/>
        </w:rPr>
      </w:pPr>
      <w:bookmarkStart w:id="0" w:name="_GoBack"/>
      <w:bookmarkEnd w:id="0"/>
    </w:p>
    <w:p w:rsidR="002C22B9" w:rsidRDefault="002C22B9" w:rsidP="002C22B9">
      <w:pPr>
        <w:jc w:val="center"/>
        <w:rPr>
          <w:sz w:val="20"/>
        </w:rPr>
      </w:pPr>
      <w:r w:rsidRPr="00914649">
        <w:rPr>
          <w:sz w:val="20"/>
        </w:rPr>
        <w:t>Rīgā</w:t>
      </w:r>
    </w:p>
    <w:p w:rsidR="002C22B9" w:rsidRDefault="002C22B9" w:rsidP="007F3771">
      <w:pPr>
        <w:rPr>
          <w:spacing w:val="4"/>
          <w:sz w:val="20"/>
        </w:rPr>
      </w:pPr>
    </w:p>
    <w:tbl>
      <w:tblPr>
        <w:tblW w:w="0" w:type="auto"/>
        <w:tblLook w:val="0000" w:firstRow="0" w:lastRow="0" w:firstColumn="0" w:lastColumn="0" w:noHBand="0" w:noVBand="0"/>
      </w:tblPr>
      <w:tblGrid>
        <w:gridCol w:w="450"/>
        <w:gridCol w:w="1785"/>
        <w:gridCol w:w="708"/>
        <w:gridCol w:w="2727"/>
      </w:tblGrid>
      <w:tr w:rsidR="002C22B9" w:rsidRPr="00615936" w:rsidTr="009F77B9">
        <w:tc>
          <w:tcPr>
            <w:tcW w:w="450" w:type="dxa"/>
            <w:tcBorders>
              <w:top w:val="nil"/>
              <w:left w:val="nil"/>
              <w:bottom w:val="nil"/>
              <w:right w:val="nil"/>
            </w:tcBorders>
          </w:tcPr>
          <w:p w:rsidR="002C22B9" w:rsidRPr="00615936" w:rsidRDefault="002C22B9" w:rsidP="002C22B9">
            <w:pPr>
              <w:tabs>
                <w:tab w:val="left" w:pos="360"/>
                <w:tab w:val="left" w:pos="3960"/>
              </w:tabs>
              <w:rPr>
                <w:sz w:val="20"/>
              </w:rPr>
            </w:pPr>
          </w:p>
        </w:tc>
        <w:bookmarkStart w:id="1" w:name="reg_dat"/>
        <w:tc>
          <w:tcPr>
            <w:tcW w:w="1785" w:type="dxa"/>
            <w:tcBorders>
              <w:top w:val="nil"/>
              <w:left w:val="nil"/>
              <w:bottom w:val="single" w:sz="4" w:space="0" w:color="auto"/>
              <w:right w:val="nil"/>
            </w:tcBorders>
          </w:tcPr>
          <w:p w:rsidR="002C22B9" w:rsidRPr="00615936" w:rsidRDefault="002C22B9" w:rsidP="002C22B9">
            <w:pPr>
              <w:tabs>
                <w:tab w:val="left" w:pos="3960"/>
              </w:tabs>
              <w:rPr>
                <w:szCs w:val="24"/>
              </w:rPr>
            </w:pPr>
            <w:r w:rsidRPr="00615936">
              <w:rPr>
                <w:szCs w:val="24"/>
              </w:rPr>
              <w:fldChar w:fldCharType="begin">
                <w:ffData>
                  <w:name w:val="reg_dat"/>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49532A">
              <w:rPr>
                <w:szCs w:val="24"/>
              </w:rPr>
              <w:t>13.01.2021</w:t>
            </w:r>
            <w:r w:rsidRPr="00615936">
              <w:rPr>
                <w:szCs w:val="24"/>
              </w:rPr>
              <w:fldChar w:fldCharType="end"/>
            </w:r>
            <w:bookmarkEnd w:id="1"/>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r w:rsidRPr="00615936">
              <w:rPr>
                <w:sz w:val="20"/>
              </w:rPr>
              <w:t>Nr.</w:t>
            </w:r>
          </w:p>
        </w:tc>
        <w:bookmarkStart w:id="2" w:name="lietas_nr"/>
        <w:tc>
          <w:tcPr>
            <w:tcW w:w="2727" w:type="dxa"/>
            <w:tcBorders>
              <w:top w:val="nil"/>
              <w:left w:val="nil"/>
              <w:bottom w:val="single" w:sz="4" w:space="0" w:color="auto"/>
              <w:right w:val="nil"/>
            </w:tcBorders>
          </w:tcPr>
          <w:p w:rsidR="002C22B9" w:rsidRPr="00615936" w:rsidRDefault="002C22B9" w:rsidP="002C22B9">
            <w:pPr>
              <w:tabs>
                <w:tab w:val="left" w:pos="360"/>
                <w:tab w:val="left" w:pos="3960"/>
              </w:tabs>
              <w:rPr>
                <w:szCs w:val="24"/>
              </w:rPr>
            </w:pPr>
            <w:r w:rsidRPr="00615936">
              <w:rPr>
                <w:szCs w:val="24"/>
              </w:rPr>
              <w:fldChar w:fldCharType="begin">
                <w:ffData>
                  <w:name w:val="lietas_nr"/>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765FBE">
              <w:rPr>
                <w:szCs w:val="24"/>
              </w:rPr>
              <w:t>5.1-24/21/</w:t>
            </w:r>
            <w:r w:rsidRPr="00615936">
              <w:rPr>
                <w:szCs w:val="24"/>
              </w:rPr>
              <w:fldChar w:fldCharType="end"/>
            </w:r>
            <w:bookmarkEnd w:id="2"/>
            <w:r w:rsidRPr="00615936">
              <w:rPr>
                <w:szCs w:val="24"/>
              </w:rPr>
              <w:t>/</w:t>
            </w:r>
            <w:bookmarkStart w:id="3" w:name="reg_num"/>
            <w:r w:rsidRPr="00615936">
              <w:rPr>
                <w:szCs w:val="24"/>
              </w:rPr>
              <w:fldChar w:fldCharType="begin">
                <w:ffData>
                  <w:name w:val="reg_num"/>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0049532A">
              <w:rPr>
                <w:szCs w:val="24"/>
              </w:rPr>
              <w:t>203</w:t>
            </w:r>
            <w:r w:rsidRPr="00615936">
              <w:rPr>
                <w:szCs w:val="24"/>
              </w:rPr>
              <w:fldChar w:fldCharType="end"/>
            </w:r>
            <w:bookmarkEnd w:id="3"/>
          </w:p>
        </w:tc>
      </w:tr>
      <w:tr w:rsidR="002C22B9" w:rsidRPr="00615936" w:rsidTr="009F77B9">
        <w:trPr>
          <w:trHeight w:val="188"/>
        </w:trPr>
        <w:tc>
          <w:tcPr>
            <w:tcW w:w="450" w:type="dxa"/>
            <w:tcBorders>
              <w:top w:val="nil"/>
              <w:left w:val="nil"/>
              <w:bottom w:val="nil"/>
              <w:right w:val="nil"/>
            </w:tcBorders>
          </w:tcPr>
          <w:p w:rsidR="002C22B9" w:rsidRPr="00615936" w:rsidRDefault="002C22B9" w:rsidP="002C22B9">
            <w:pPr>
              <w:tabs>
                <w:tab w:val="left" w:pos="360"/>
                <w:tab w:val="left" w:pos="3960"/>
              </w:tabs>
              <w:rPr>
                <w:sz w:val="20"/>
              </w:rPr>
            </w:pPr>
          </w:p>
        </w:tc>
        <w:tc>
          <w:tcPr>
            <w:tcW w:w="1785" w:type="dxa"/>
            <w:tcBorders>
              <w:top w:val="single" w:sz="4" w:space="0" w:color="auto"/>
              <w:left w:val="nil"/>
              <w:bottom w:val="nil"/>
              <w:right w:val="nil"/>
            </w:tcBorders>
          </w:tcPr>
          <w:p w:rsidR="002C22B9" w:rsidRPr="00615936" w:rsidRDefault="002C22B9" w:rsidP="002C22B9">
            <w:pPr>
              <w:tabs>
                <w:tab w:val="left" w:pos="360"/>
                <w:tab w:val="left" w:pos="3960"/>
              </w:tabs>
              <w:rPr>
                <w:sz w:val="20"/>
              </w:rPr>
            </w:pPr>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p>
        </w:tc>
        <w:tc>
          <w:tcPr>
            <w:tcW w:w="2727" w:type="dxa"/>
            <w:tcBorders>
              <w:top w:val="single" w:sz="4" w:space="0" w:color="auto"/>
              <w:left w:val="nil"/>
              <w:bottom w:val="nil"/>
              <w:right w:val="nil"/>
            </w:tcBorders>
          </w:tcPr>
          <w:p w:rsidR="002C22B9" w:rsidRPr="00615936" w:rsidRDefault="002C22B9" w:rsidP="002C22B9">
            <w:pPr>
              <w:tabs>
                <w:tab w:val="left" w:pos="360"/>
                <w:tab w:val="left" w:pos="3960"/>
              </w:tabs>
              <w:rPr>
                <w:sz w:val="20"/>
              </w:rPr>
            </w:pPr>
          </w:p>
        </w:tc>
      </w:tr>
      <w:tr w:rsidR="002C22B9" w:rsidRPr="00615936" w:rsidTr="009F77B9">
        <w:tc>
          <w:tcPr>
            <w:tcW w:w="450" w:type="dxa"/>
            <w:tcBorders>
              <w:top w:val="nil"/>
              <w:left w:val="nil"/>
              <w:bottom w:val="nil"/>
              <w:right w:val="nil"/>
            </w:tcBorders>
          </w:tcPr>
          <w:p w:rsidR="002C22B9" w:rsidRPr="00615936" w:rsidRDefault="002C22B9" w:rsidP="002C22B9">
            <w:pPr>
              <w:tabs>
                <w:tab w:val="left" w:pos="360"/>
                <w:tab w:val="left" w:pos="3960"/>
              </w:tabs>
              <w:rPr>
                <w:sz w:val="20"/>
              </w:rPr>
            </w:pPr>
            <w:r w:rsidRPr="00615936">
              <w:rPr>
                <w:sz w:val="20"/>
              </w:rPr>
              <w:t>Uz</w:t>
            </w:r>
          </w:p>
        </w:tc>
        <w:bookmarkStart w:id="4" w:name="san_dat"/>
        <w:tc>
          <w:tcPr>
            <w:tcW w:w="1785" w:type="dxa"/>
            <w:tcBorders>
              <w:top w:val="nil"/>
              <w:left w:val="nil"/>
              <w:bottom w:val="single" w:sz="4" w:space="0" w:color="auto"/>
              <w:right w:val="nil"/>
            </w:tcBorders>
          </w:tcPr>
          <w:p w:rsidR="002C22B9" w:rsidRPr="00615936" w:rsidRDefault="002C22B9" w:rsidP="002C22B9">
            <w:pPr>
              <w:tabs>
                <w:tab w:val="left" w:pos="360"/>
                <w:tab w:val="left" w:pos="3960"/>
              </w:tabs>
              <w:rPr>
                <w:szCs w:val="24"/>
              </w:rPr>
            </w:pPr>
            <w:r w:rsidRPr="00615936">
              <w:rPr>
                <w:szCs w:val="24"/>
              </w:rPr>
              <w:fldChar w:fldCharType="begin">
                <w:ffData>
                  <w:name w:val="san_dat"/>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Pr="00615936">
              <w:rPr>
                <w:noProof/>
                <w:szCs w:val="24"/>
              </w:rPr>
              <w:t xml:space="preserve">                      </w:t>
            </w:r>
            <w:r w:rsidRPr="00615936">
              <w:rPr>
                <w:szCs w:val="24"/>
              </w:rPr>
              <w:fldChar w:fldCharType="end"/>
            </w:r>
            <w:bookmarkEnd w:id="4"/>
          </w:p>
        </w:tc>
        <w:tc>
          <w:tcPr>
            <w:tcW w:w="708" w:type="dxa"/>
            <w:tcBorders>
              <w:top w:val="nil"/>
              <w:left w:val="nil"/>
              <w:bottom w:val="nil"/>
              <w:right w:val="nil"/>
            </w:tcBorders>
          </w:tcPr>
          <w:p w:rsidR="002C22B9" w:rsidRPr="00615936" w:rsidRDefault="002C22B9" w:rsidP="002C22B9">
            <w:pPr>
              <w:tabs>
                <w:tab w:val="left" w:pos="360"/>
                <w:tab w:val="left" w:pos="3960"/>
              </w:tabs>
              <w:jc w:val="center"/>
              <w:rPr>
                <w:sz w:val="20"/>
              </w:rPr>
            </w:pPr>
            <w:r w:rsidRPr="00615936">
              <w:rPr>
                <w:sz w:val="20"/>
              </w:rPr>
              <w:t>Nr.</w:t>
            </w:r>
          </w:p>
        </w:tc>
        <w:bookmarkStart w:id="5" w:name="san_num"/>
        <w:tc>
          <w:tcPr>
            <w:tcW w:w="2727" w:type="dxa"/>
            <w:tcBorders>
              <w:top w:val="nil"/>
              <w:left w:val="nil"/>
              <w:bottom w:val="single" w:sz="4" w:space="0" w:color="auto"/>
              <w:right w:val="nil"/>
            </w:tcBorders>
          </w:tcPr>
          <w:p w:rsidR="002C22B9" w:rsidRPr="00615936" w:rsidRDefault="002C22B9" w:rsidP="002C22B9">
            <w:pPr>
              <w:tabs>
                <w:tab w:val="left" w:pos="360"/>
                <w:tab w:val="left" w:pos="3960"/>
              </w:tabs>
              <w:rPr>
                <w:szCs w:val="24"/>
              </w:rPr>
            </w:pPr>
            <w:r w:rsidRPr="00615936">
              <w:rPr>
                <w:szCs w:val="24"/>
              </w:rPr>
              <w:fldChar w:fldCharType="begin">
                <w:ffData>
                  <w:name w:val="san_num"/>
                  <w:enabled/>
                  <w:calcOnExit w:val="0"/>
                  <w:textInput>
                    <w:default w:val="                             "/>
                  </w:textInput>
                </w:ffData>
              </w:fldChar>
            </w:r>
            <w:r w:rsidRPr="00615936">
              <w:rPr>
                <w:szCs w:val="24"/>
              </w:rPr>
              <w:instrText xml:space="preserve"> FORMTEXT </w:instrText>
            </w:r>
            <w:r w:rsidRPr="00615936">
              <w:rPr>
                <w:szCs w:val="24"/>
              </w:rPr>
            </w:r>
            <w:r w:rsidRPr="00615936">
              <w:rPr>
                <w:szCs w:val="24"/>
              </w:rPr>
              <w:fldChar w:fldCharType="separate"/>
            </w:r>
            <w:r w:rsidRPr="00615936">
              <w:rPr>
                <w:noProof/>
                <w:szCs w:val="24"/>
              </w:rPr>
              <w:t xml:space="preserve">                             </w:t>
            </w:r>
            <w:r w:rsidRPr="00615936">
              <w:rPr>
                <w:szCs w:val="24"/>
              </w:rPr>
              <w:fldChar w:fldCharType="end"/>
            </w:r>
            <w:bookmarkEnd w:id="5"/>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C0DD4" w:rsidTr="000C0DD4">
        <w:trPr>
          <w:jc w:val="right"/>
        </w:trPr>
        <w:tc>
          <w:tcPr>
            <w:tcW w:w="4644" w:type="dxa"/>
          </w:tcPr>
          <w:p w:rsidR="0020437B" w:rsidRDefault="0020437B" w:rsidP="000C0DD4">
            <w:pPr>
              <w:jc w:val="right"/>
              <w:rPr>
                <w:b/>
                <w:szCs w:val="24"/>
              </w:rPr>
            </w:pPr>
            <w:bookmarkStart w:id="6" w:name="org_nos"/>
          </w:p>
          <w:p w:rsidR="0020437B" w:rsidRDefault="0020437B" w:rsidP="000C0DD4">
            <w:pPr>
              <w:jc w:val="right"/>
              <w:rPr>
                <w:b/>
                <w:szCs w:val="24"/>
              </w:rPr>
            </w:pPr>
          </w:p>
          <w:p w:rsidR="000C0DD4" w:rsidRDefault="0020437B" w:rsidP="000C0DD4">
            <w:pPr>
              <w:jc w:val="right"/>
              <w:rPr>
                <w:b/>
                <w:bCs/>
                <w:szCs w:val="24"/>
                <w:lang w:eastAsia="lv-LV"/>
              </w:rPr>
            </w:pPr>
            <w:r w:rsidRPr="00576C61">
              <w:rPr>
                <w:b/>
                <w:szCs w:val="24"/>
              </w:rPr>
              <w:t>Latvijas Darba devēju konfederācijai</w:t>
            </w:r>
          </w:p>
        </w:tc>
      </w:tr>
      <w:bookmarkEnd w:id="6"/>
    </w:tbl>
    <w:p w:rsidR="001F53D9" w:rsidRPr="007F3771" w:rsidRDefault="001F53D9" w:rsidP="004F32A1">
      <w:pPr>
        <w:rPr>
          <w:spacing w:val="4"/>
          <w:sz w:val="20"/>
        </w:rPr>
      </w:pPr>
    </w:p>
    <w:tbl>
      <w:tblPr>
        <w:tblStyle w:val="TableGrid"/>
        <w:tblW w:w="0" w:type="auto"/>
        <w:tblLook w:val="04A0" w:firstRow="1" w:lastRow="0" w:firstColumn="1" w:lastColumn="0" w:noHBand="0" w:noVBand="1"/>
      </w:tblPr>
      <w:tblGrid>
        <w:gridCol w:w="4503"/>
      </w:tblGrid>
      <w:tr w:rsidR="000C0DD4" w:rsidTr="000C0DD4">
        <w:tc>
          <w:tcPr>
            <w:tcW w:w="4503" w:type="dxa"/>
            <w:tcBorders>
              <w:top w:val="nil"/>
              <w:left w:val="nil"/>
              <w:bottom w:val="nil"/>
              <w:right w:val="nil"/>
            </w:tcBorders>
          </w:tcPr>
          <w:p w:rsidR="000C0DD4" w:rsidRDefault="00765FBE" w:rsidP="0020437B">
            <w:pPr>
              <w:rPr>
                <w:i/>
                <w:iCs/>
                <w:szCs w:val="24"/>
                <w:lang w:eastAsia="lv-LV"/>
              </w:rPr>
            </w:pPr>
            <w:r>
              <w:rPr>
                <w:i/>
                <w:iCs/>
                <w:szCs w:val="24"/>
                <w:lang w:eastAsia="lv-LV"/>
              </w:rPr>
              <w:t>Par Eiropas Savienības struktūrfondu un Kohēzijas fonda 2021.-2027. gada plānošanas perioda Atjaunošanas un noturības mehānisma plāna projekta izstrādi</w:t>
            </w:r>
          </w:p>
        </w:tc>
      </w:tr>
    </w:tbl>
    <w:p w:rsidR="00E04F00" w:rsidRPr="00615936" w:rsidRDefault="00E04F00" w:rsidP="00C04DED">
      <w:pPr>
        <w:jc w:val="left"/>
        <w:rPr>
          <w:szCs w:val="24"/>
        </w:rPr>
      </w:pPr>
    </w:p>
    <w:p w:rsidR="006D6710" w:rsidRPr="00615936" w:rsidRDefault="006D6710" w:rsidP="007F3771">
      <w:pPr>
        <w:rPr>
          <w:szCs w:val="24"/>
        </w:rPr>
      </w:pPr>
    </w:p>
    <w:p w:rsidR="006D6710" w:rsidRPr="00615936" w:rsidRDefault="006D6710" w:rsidP="00615936">
      <w:pPr>
        <w:ind w:firstLine="709"/>
        <w:rPr>
          <w:szCs w:val="24"/>
        </w:rPr>
      </w:pPr>
    </w:p>
    <w:p w:rsidR="0020437B" w:rsidRPr="007E7E6B" w:rsidRDefault="0020437B" w:rsidP="0020437B">
      <w:pPr>
        <w:spacing w:line="276" w:lineRule="auto"/>
        <w:ind w:firstLine="720"/>
        <w:rPr>
          <w:szCs w:val="24"/>
        </w:rPr>
      </w:pPr>
      <w:r w:rsidRPr="007E7E6B">
        <w:rPr>
          <w:szCs w:val="24"/>
        </w:rPr>
        <w:t>Finanšu ministrija (turpmāk – FM) informē, ka ir izskatījusi Latvijas Darba devēju konfederācijas (turpmāk – LDDK) 2020.gada 21.decembrī iesūtīto vēstuli Nr.2-9e/281, kurā ir pausta LDDK nostāja par Atjaunošanas un noturības mehānisma plāna (turpmāk – ANMP) izstrādi, kā arī iesūtīti priekšlikumi turpmākajiem ANMP izstrādes soļiem.</w:t>
      </w:r>
    </w:p>
    <w:p w:rsidR="0020437B" w:rsidRPr="007E7E6B" w:rsidRDefault="0020437B" w:rsidP="0020437B">
      <w:pPr>
        <w:spacing w:line="276" w:lineRule="auto"/>
        <w:ind w:firstLine="720"/>
        <w:rPr>
          <w:szCs w:val="24"/>
        </w:rPr>
      </w:pPr>
      <w:r w:rsidRPr="007E7E6B">
        <w:rPr>
          <w:szCs w:val="24"/>
        </w:rPr>
        <w:t xml:space="preserve">Augsti novērtējam LDDK iesaistīšanos ANMP izstrādes procesā un sniedzam atbildes uz </w:t>
      </w:r>
      <w:r>
        <w:rPr>
          <w:szCs w:val="24"/>
        </w:rPr>
        <w:t xml:space="preserve">LDDK </w:t>
      </w:r>
      <w:r w:rsidRPr="007E7E6B">
        <w:rPr>
          <w:szCs w:val="24"/>
        </w:rPr>
        <w:t>priekšlikumiem.</w:t>
      </w:r>
    </w:p>
    <w:p w:rsidR="0020437B" w:rsidRPr="007E24D5" w:rsidRDefault="0020437B" w:rsidP="0020437B">
      <w:pPr>
        <w:spacing w:line="276" w:lineRule="auto"/>
        <w:ind w:firstLine="720"/>
        <w:rPr>
          <w:bCs/>
          <w:iCs/>
          <w:szCs w:val="24"/>
        </w:rPr>
      </w:pPr>
      <w:r w:rsidRPr="007E7E6B">
        <w:rPr>
          <w:szCs w:val="24"/>
        </w:rPr>
        <w:t xml:space="preserve">Attiecībā uz priekšlikumu par LDDK aicinājumu valdību uzlabot konsultāciju procesu un nodrošināt sociālo partneru iesaisti visos Latvijas ekonomikas atveseļošanas, stabilizācijas un transformācijas atbalsta plānošanas procesos, skaidrojam, ka pirms ANMP iesniegšanas Ministru kabinetā (turpmāk – MK), tas tiks atkārtoti izdiskutēts </w:t>
      </w:r>
      <w:r w:rsidRPr="007E7E6B">
        <w:rPr>
          <w:bCs/>
          <w:iCs/>
          <w:szCs w:val="24"/>
        </w:rPr>
        <w:t xml:space="preserve">Nacionālās trīspusējās </w:t>
      </w:r>
      <w:r>
        <w:rPr>
          <w:bCs/>
          <w:iCs/>
          <w:szCs w:val="24"/>
        </w:rPr>
        <w:t xml:space="preserve">sadarbības </w:t>
      </w:r>
      <w:r w:rsidRPr="007E7E6B">
        <w:rPr>
          <w:bCs/>
          <w:iCs/>
          <w:szCs w:val="24"/>
        </w:rPr>
        <w:t>padomes</w:t>
      </w:r>
      <w:r>
        <w:rPr>
          <w:bCs/>
          <w:iCs/>
          <w:szCs w:val="24"/>
        </w:rPr>
        <w:t xml:space="preserve"> (turpmāk – NTSP)</w:t>
      </w:r>
      <w:r w:rsidRPr="007E7E6B">
        <w:rPr>
          <w:bCs/>
          <w:iCs/>
          <w:szCs w:val="24"/>
        </w:rPr>
        <w:t xml:space="preserve"> sēdē</w:t>
      </w:r>
      <w:r w:rsidRPr="007E7E6B">
        <w:rPr>
          <w:szCs w:val="24"/>
        </w:rPr>
        <w:t>.</w:t>
      </w:r>
    </w:p>
    <w:p w:rsidR="0020437B" w:rsidRPr="007E7E6B" w:rsidRDefault="0020437B" w:rsidP="0020437B">
      <w:pPr>
        <w:spacing w:line="276" w:lineRule="auto"/>
        <w:ind w:firstLine="720"/>
        <w:rPr>
          <w:szCs w:val="24"/>
        </w:rPr>
      </w:pPr>
      <w:r w:rsidRPr="007E7E6B">
        <w:rPr>
          <w:szCs w:val="24"/>
        </w:rPr>
        <w:t>Attiecībā uz priekšlikumu par LDDK aicinājum</w:t>
      </w:r>
      <w:r>
        <w:rPr>
          <w:szCs w:val="24"/>
        </w:rPr>
        <w:t>u</w:t>
      </w:r>
      <w:r w:rsidRPr="007E7E6B">
        <w:rPr>
          <w:szCs w:val="24"/>
        </w:rPr>
        <w:t xml:space="preserve"> konsekventi īstenot Ministru Kabinetā (turpmāk – MK) 2020.gada 26.maijā (protokols §36) apstiprināto “</w:t>
      </w:r>
      <w:r w:rsidRPr="007E7E6B">
        <w:rPr>
          <w:iCs/>
          <w:szCs w:val="24"/>
        </w:rPr>
        <w:t>Stratēģiju Latvijai”</w:t>
      </w:r>
      <w:r w:rsidRPr="007E7E6B">
        <w:rPr>
          <w:iCs/>
          <w:szCs w:val="24"/>
          <w:vertAlign w:val="superscript"/>
        </w:rPr>
        <w:footnoteReference w:id="1"/>
      </w:r>
      <w:r w:rsidRPr="007E7E6B">
        <w:rPr>
          <w:iCs/>
          <w:szCs w:val="24"/>
        </w:rPr>
        <w:t xml:space="preserve"> un </w:t>
      </w:r>
      <w:r w:rsidRPr="007E7E6B">
        <w:rPr>
          <w:szCs w:val="24"/>
        </w:rPr>
        <w:t>pieņemt lēmumus, izvērtējot publiskā sektora investīciju projektu atdevi, skaidrojam, ka minētais nosacījums nodrošināms, izstrādājot nozaru stratēģijas un nozaru plānošanas, un saistītos dokumentus.</w:t>
      </w:r>
    </w:p>
    <w:p w:rsidR="0020437B" w:rsidRPr="007E7E6B" w:rsidRDefault="0020437B" w:rsidP="0020437B">
      <w:pPr>
        <w:spacing w:line="276" w:lineRule="auto"/>
        <w:ind w:firstLine="720"/>
        <w:rPr>
          <w:szCs w:val="24"/>
        </w:rPr>
      </w:pPr>
      <w:r w:rsidRPr="007E7E6B">
        <w:rPr>
          <w:szCs w:val="24"/>
        </w:rPr>
        <w:t xml:space="preserve">Par LDDK komentāru “ir jāveic Latvijas tautsaimniecības nepārtraukts monitorings un modelēšana, un jāseko līdzi vadošo uzņēmumu grupām konkrētās nozarēs” skaidrojam, ka šādu monitoringu un modelēšanu ieviest jau pēc būtības paredz Viedās specializācijas stratēģijas pārvaldības koncepcija (tiks iekļauta </w:t>
      </w:r>
      <w:r w:rsidRPr="007E7E6B">
        <w:rPr>
          <w:bCs/>
          <w:color w:val="2A2A2A"/>
          <w:szCs w:val="24"/>
          <w:shd w:val="clear" w:color="auto" w:fill="FFFFFF"/>
        </w:rPr>
        <w:t>Nacionālajās industriālajās politikas pamatnostādnēs 2021.-2027.gadam (turpmāk – NIPP)</w:t>
      </w:r>
      <w:r w:rsidRPr="007E7E6B">
        <w:rPr>
          <w:szCs w:val="24"/>
        </w:rPr>
        <w:t>). Paredzēts, ka to veiks Izglītības un zinātnes ministrija</w:t>
      </w:r>
      <w:r>
        <w:rPr>
          <w:szCs w:val="24"/>
        </w:rPr>
        <w:t xml:space="preserve"> un Latvijas </w:t>
      </w:r>
      <w:r w:rsidRPr="007E7E6B">
        <w:rPr>
          <w:szCs w:val="24"/>
        </w:rPr>
        <w:lastRenderedPageBreak/>
        <w:t>Zinātnes padome sadarbībā ar Ekonomikas ministrij</w:t>
      </w:r>
      <w:r>
        <w:rPr>
          <w:szCs w:val="24"/>
        </w:rPr>
        <w:t xml:space="preserve">u un </w:t>
      </w:r>
      <w:r w:rsidRPr="007E7E6B">
        <w:rPr>
          <w:color w:val="212529"/>
          <w:szCs w:val="24"/>
          <w:shd w:val="clear" w:color="auto" w:fill="FFFFFF"/>
        </w:rPr>
        <w:t>Latvijas Investīciju un attīstības aģentūr</w:t>
      </w:r>
      <w:r>
        <w:rPr>
          <w:color w:val="212529"/>
          <w:szCs w:val="24"/>
          <w:shd w:val="clear" w:color="auto" w:fill="FFFFFF"/>
        </w:rPr>
        <w:t>u</w:t>
      </w:r>
      <w:r w:rsidRPr="007E7E6B">
        <w:rPr>
          <w:szCs w:val="24"/>
        </w:rPr>
        <w:t xml:space="preserve">. Uzskatām, ka </w:t>
      </w:r>
      <w:r>
        <w:rPr>
          <w:szCs w:val="24"/>
        </w:rPr>
        <w:t>monitoringa un</w:t>
      </w:r>
      <w:r w:rsidRPr="007E7E6B">
        <w:rPr>
          <w:szCs w:val="24"/>
        </w:rPr>
        <w:t xml:space="preserve"> modelēšanas funkciju </w:t>
      </w:r>
      <w:r>
        <w:rPr>
          <w:szCs w:val="24"/>
        </w:rPr>
        <w:t>jāveic tautsaimniecībai kopumā, neizdalot tikai ANMP</w:t>
      </w:r>
      <w:r w:rsidRPr="007E7E6B">
        <w:rPr>
          <w:szCs w:val="24"/>
        </w:rPr>
        <w:t>. Jautājums par neatkarīgu institūciju iesaisti ir konceptuāls jautājums par visu sistēmu un risināms NIPP</w:t>
      </w:r>
      <w:r>
        <w:rPr>
          <w:szCs w:val="24"/>
        </w:rPr>
        <w:t xml:space="preserve"> diskusiju ietvarā.</w:t>
      </w:r>
    </w:p>
    <w:p w:rsidR="0020437B" w:rsidRPr="007E7E6B" w:rsidRDefault="0020437B" w:rsidP="0020437B">
      <w:pPr>
        <w:spacing w:line="276" w:lineRule="auto"/>
        <w:ind w:firstLine="720"/>
        <w:rPr>
          <w:szCs w:val="24"/>
        </w:rPr>
      </w:pPr>
      <w:r w:rsidRPr="007E7E6B">
        <w:rPr>
          <w:bCs/>
          <w:color w:val="2A2A2A"/>
          <w:szCs w:val="24"/>
          <w:shd w:val="clear" w:color="auto" w:fill="FFFFFF"/>
        </w:rPr>
        <w:t xml:space="preserve">Attiecībā uz LDDK </w:t>
      </w:r>
      <w:r w:rsidRPr="007E7E6B">
        <w:rPr>
          <w:szCs w:val="24"/>
        </w:rPr>
        <w:t>ierosinājumu visu ministriju piedāvājumu ANMP kartēt atbilstoši 17.09.2020 Eiropas Komisijas vadlīnijām RRF izstrādei un mērķa paraugu saraksta 7 virzienos, skaidrojam:</w:t>
      </w:r>
    </w:p>
    <w:p w:rsidR="0020437B" w:rsidRPr="007E7E6B" w:rsidRDefault="0020437B" w:rsidP="0020437B">
      <w:pPr>
        <w:pStyle w:val="NormalWeb"/>
        <w:numPr>
          <w:ilvl w:val="0"/>
          <w:numId w:val="1"/>
        </w:numPr>
        <w:spacing w:before="0" w:beforeAutospacing="0" w:after="0" w:afterAutospacing="0" w:line="276" w:lineRule="auto"/>
        <w:jc w:val="both"/>
      </w:pPr>
      <w:r w:rsidRPr="007E7E6B">
        <w:t>FM sagatavotais priekšlikums ir saskaņā ar Eiropas Komisijas (turpmāk – EK) vadlīnijām</w:t>
      </w:r>
      <w:r>
        <w:t xml:space="preserve"> un</w:t>
      </w:r>
      <w:r w:rsidRPr="007E7E6B">
        <w:t xml:space="preserve"> </w:t>
      </w:r>
      <w:r>
        <w:t>m</w:t>
      </w:r>
      <w:r w:rsidRPr="007E7E6B">
        <w:t>ūsu piedāvātā struktūra ir aprobēta gan diskusijās ar partneriem, gan ar EK.</w:t>
      </w:r>
    </w:p>
    <w:p w:rsidR="0020437B" w:rsidRPr="007E7E6B" w:rsidRDefault="0020437B" w:rsidP="0020437B">
      <w:pPr>
        <w:pStyle w:val="NormalWeb"/>
        <w:numPr>
          <w:ilvl w:val="0"/>
          <w:numId w:val="1"/>
        </w:numPr>
        <w:spacing w:before="0" w:beforeAutospacing="0" w:after="0" w:afterAutospacing="0" w:line="276" w:lineRule="auto"/>
        <w:jc w:val="both"/>
      </w:pPr>
      <w:r w:rsidRPr="007E7E6B">
        <w:t xml:space="preserve">Vadlīnijās minētie virzieni ir piemērs. Turklāt </w:t>
      </w:r>
      <w:r>
        <w:t>pēc</w:t>
      </w:r>
      <w:r w:rsidRPr="007E7E6B">
        <w:t xml:space="preserve"> regulējum</w:t>
      </w:r>
      <w:r>
        <w:t>a</w:t>
      </w:r>
      <w:r w:rsidRPr="007E7E6B">
        <w:t xml:space="preserve"> </w:t>
      </w:r>
      <w:r>
        <w:t>apstiprināšanas iespējamas</w:t>
      </w:r>
      <w:r w:rsidRPr="007E7E6B">
        <w:t xml:space="preserve"> izmaiņas prasībās par plāna sastāvdaļām un</w:t>
      </w:r>
      <w:r>
        <w:t xml:space="preserve">, </w:t>
      </w:r>
      <w:r w:rsidRPr="007E7E6B">
        <w:t xml:space="preserve">būs jaunas EK vadlīnijas. Mēs piedāvājam fokusēt piedāvājumu uz reformām un investīcijām, kas </w:t>
      </w:r>
      <w:r>
        <w:t>nepieciešamas</w:t>
      </w:r>
      <w:r w:rsidRPr="007E7E6B">
        <w:t xml:space="preserve"> Latvijai.  FM piedāvā integrētu, nevis sektorālu plānu. </w:t>
      </w:r>
    </w:p>
    <w:p w:rsidR="0020437B" w:rsidRPr="007E7E6B" w:rsidRDefault="0020437B" w:rsidP="0020437B">
      <w:pPr>
        <w:spacing w:line="276" w:lineRule="auto"/>
        <w:ind w:firstLine="720"/>
        <w:rPr>
          <w:szCs w:val="24"/>
        </w:rPr>
      </w:pPr>
      <w:r>
        <w:rPr>
          <w:szCs w:val="24"/>
        </w:rPr>
        <w:t>Tāpat i</w:t>
      </w:r>
      <w:r w:rsidRPr="007E7E6B">
        <w:rPr>
          <w:szCs w:val="24"/>
        </w:rPr>
        <w:t>zsakām pateicību par izteiktajiem priekšlikumiem ANMP mērķa paraugu saraksta 7 virzienos. Skaidrojam, ka LDDK ieteiktie atbalsta virzieni jau ir iekļauti E</w:t>
      </w:r>
      <w:r>
        <w:rPr>
          <w:szCs w:val="24"/>
        </w:rPr>
        <w:t xml:space="preserve">iropas Sociālajā fonda plus, </w:t>
      </w:r>
      <w:r w:rsidRPr="007E7E6B">
        <w:rPr>
          <w:szCs w:val="24"/>
        </w:rPr>
        <w:t>E</w:t>
      </w:r>
      <w:r>
        <w:rPr>
          <w:szCs w:val="24"/>
        </w:rPr>
        <w:t>iropas Reģionālās attīstības fonda,</w:t>
      </w:r>
      <w:r w:rsidRPr="007E7E6B">
        <w:rPr>
          <w:szCs w:val="24"/>
        </w:rPr>
        <w:t xml:space="preserve"> T</w:t>
      </w:r>
      <w:r>
        <w:rPr>
          <w:szCs w:val="24"/>
        </w:rPr>
        <w:t>aisnīgas Pārkārtošanās fonda investīcijās</w:t>
      </w:r>
      <w:r w:rsidRPr="007E7E6B">
        <w:rPr>
          <w:szCs w:val="24"/>
        </w:rPr>
        <w:t>, kā arī ANM</w:t>
      </w:r>
      <w:r>
        <w:rPr>
          <w:szCs w:val="24"/>
        </w:rPr>
        <w:t>P</w:t>
      </w:r>
      <w:r w:rsidRPr="007E7E6B">
        <w:rPr>
          <w:szCs w:val="24"/>
        </w:rPr>
        <w:t xml:space="preserve">. Attiecībā uz budžeta izdevumu pārskatīšanu, </w:t>
      </w:r>
      <w:r>
        <w:rPr>
          <w:szCs w:val="24"/>
        </w:rPr>
        <w:t>vēršam uzmanību, ka b</w:t>
      </w:r>
      <w:r w:rsidRPr="007E7E6B">
        <w:rPr>
          <w:szCs w:val="24"/>
        </w:rPr>
        <w:t xml:space="preserve">udžeta bāzes pārskatīšana notiek </w:t>
      </w:r>
      <w:r>
        <w:rPr>
          <w:szCs w:val="24"/>
        </w:rPr>
        <w:t xml:space="preserve">nepārtraukti, līdz ar to nav nepieciešams to ietvert ANMP. </w:t>
      </w:r>
      <w:r w:rsidRPr="007E7E6B">
        <w:rPr>
          <w:szCs w:val="24"/>
        </w:rPr>
        <w:t>.</w:t>
      </w:r>
    </w:p>
    <w:p w:rsidR="0020437B" w:rsidRPr="007E7E6B" w:rsidRDefault="0020437B" w:rsidP="0020437B">
      <w:pPr>
        <w:spacing w:line="276" w:lineRule="auto"/>
        <w:ind w:firstLine="720"/>
        <w:rPr>
          <w:szCs w:val="24"/>
        </w:rPr>
      </w:pPr>
      <w:r w:rsidRPr="007E7E6B">
        <w:rPr>
          <w:bCs/>
          <w:iCs/>
          <w:szCs w:val="24"/>
        </w:rPr>
        <w:t xml:space="preserve">Attiecībā uz </w:t>
      </w:r>
      <w:r w:rsidRPr="007E7E6B">
        <w:rPr>
          <w:szCs w:val="24"/>
        </w:rPr>
        <w:t xml:space="preserve">LDDK identificētajām problēmām ministriju piedāvājumā, norādām, ka FM turpina darbu pie ANMP sadaļu izstrādes un pilnveidošanas. Finansējuma avotu papildinātība un sinerģija ir viens no plāna elementiem. Esam piedāvājuši politikas ietekmes rādītājus katrā no 6 komponentēm. Ja piedāvātā pieeja tiks akceptēta, sadarbībā ar ministrijām tiks mērīta un novērtēta piedāvāto pasākumu ietekme uz tiem. </w:t>
      </w:r>
      <w:r>
        <w:rPr>
          <w:szCs w:val="24"/>
        </w:rPr>
        <w:t>Attiecībā uz finansējuma palielināšanu klimata programmām, s</w:t>
      </w:r>
      <w:r w:rsidRPr="007E7E6B">
        <w:rPr>
          <w:szCs w:val="24"/>
        </w:rPr>
        <w:t>kaidrojam, ka uzņēmējdarbības pasākumiem zem klimata komponentes paredzēts ievērojams resurss</w:t>
      </w:r>
      <w:r>
        <w:rPr>
          <w:szCs w:val="24"/>
        </w:rPr>
        <w:t>, turklāt programmām jāatbilst</w:t>
      </w:r>
      <w:r w:rsidRPr="007E7E6B">
        <w:rPr>
          <w:szCs w:val="24"/>
        </w:rPr>
        <w:t xml:space="preserve"> visām valsts atbalsta normām un klimata marķieriem.</w:t>
      </w:r>
    </w:p>
    <w:p w:rsidR="0020437B" w:rsidRPr="007E7E6B" w:rsidRDefault="0020437B" w:rsidP="0020437B">
      <w:pPr>
        <w:spacing w:line="276" w:lineRule="auto"/>
        <w:ind w:firstLine="720"/>
        <w:rPr>
          <w:szCs w:val="24"/>
        </w:rPr>
      </w:pPr>
      <w:r w:rsidRPr="007E7E6B">
        <w:rPr>
          <w:szCs w:val="24"/>
        </w:rPr>
        <w:t>Attiecībā uz LDDK norādīto papildu informāciju, ko paredz EK vadlīnijas ANMP izstrādei, informējam, ka aktīvi strādājam ar EK dienestiem.</w:t>
      </w:r>
    </w:p>
    <w:p w:rsidR="0020437B" w:rsidRPr="00B87FCE" w:rsidRDefault="0020437B" w:rsidP="0020437B">
      <w:pPr>
        <w:spacing w:line="276" w:lineRule="auto"/>
        <w:ind w:firstLine="720"/>
        <w:rPr>
          <w:szCs w:val="24"/>
        </w:rPr>
      </w:pPr>
      <w:r w:rsidRPr="007E7E6B">
        <w:rPr>
          <w:szCs w:val="24"/>
        </w:rPr>
        <w:t>Papildus informējam, ka patlaban nozaru ministrijās turpinās intensīvs darbs pie ANMP projekta izstrādes, lai tuvākajā laikā varētu to izsūtīt partneriem saskaņošanai pirms iesniegšanas  MK. Šī gada februārī ANMP projektu plānots iesniegt apstiprināšanai MK un uzsākt sarunas ar Eiropas Komisiju. Saskaņā ar Regulas nosacījumiem, ANMP nepieciešams apstiprināt līdz 2021.gada aprīļa beigām.</w:t>
      </w:r>
    </w:p>
    <w:p w:rsidR="0020437B" w:rsidRPr="00B87FCE" w:rsidRDefault="0020437B" w:rsidP="0020437B">
      <w:pPr>
        <w:spacing w:line="276" w:lineRule="auto"/>
        <w:ind w:firstLine="720"/>
        <w:rPr>
          <w:szCs w:val="24"/>
        </w:rPr>
      </w:pPr>
      <w:r w:rsidRPr="00B87FCE">
        <w:rPr>
          <w:bCs/>
        </w:rPr>
        <w:t xml:space="preserve"> </w:t>
      </w:r>
    </w:p>
    <w:p w:rsidR="00557B49" w:rsidRPr="00615936" w:rsidRDefault="00557B49" w:rsidP="007F3771">
      <w:pPr>
        <w:rPr>
          <w:szCs w:val="24"/>
        </w:rPr>
      </w:pPr>
    </w:p>
    <w:p w:rsidR="00557B49" w:rsidRPr="00615936" w:rsidRDefault="00557B49" w:rsidP="007F3771">
      <w:pPr>
        <w:rPr>
          <w:szCs w:val="24"/>
        </w:rPr>
      </w:pPr>
    </w:p>
    <w:p w:rsidR="003F2252" w:rsidRPr="00615936" w:rsidRDefault="003F2252" w:rsidP="007F3771">
      <w:pPr>
        <w:rPr>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2977"/>
      </w:tblGrid>
      <w:tr w:rsidR="00AA6DC1" w:rsidRPr="00615936" w:rsidTr="00AA6DC1">
        <w:tc>
          <w:tcPr>
            <w:tcW w:w="4395" w:type="dxa"/>
          </w:tcPr>
          <w:p w:rsidR="00765FBE" w:rsidRDefault="00765FBE" w:rsidP="007F3771">
            <w:pPr>
              <w:rPr>
                <w:szCs w:val="24"/>
              </w:rPr>
            </w:pPr>
            <w:r>
              <w:rPr>
                <w:szCs w:val="24"/>
              </w:rPr>
              <w:t xml:space="preserve">Valsts sekretāres vietnieks </w:t>
            </w:r>
          </w:p>
          <w:p w:rsidR="00AA6DC1" w:rsidRPr="00615936" w:rsidRDefault="00765FBE" w:rsidP="007F3771">
            <w:pPr>
              <w:rPr>
                <w:szCs w:val="24"/>
              </w:rPr>
            </w:pPr>
            <w:r>
              <w:rPr>
                <w:szCs w:val="24"/>
              </w:rPr>
              <w:t>Eiropas Savienības struktūrfondu un Kohēzijas fonda jautājumos</w:t>
            </w:r>
          </w:p>
        </w:tc>
        <w:tc>
          <w:tcPr>
            <w:tcW w:w="1984" w:type="dxa"/>
          </w:tcPr>
          <w:p w:rsidR="00AA6DC1" w:rsidRDefault="00AA6DC1" w:rsidP="00AA6DC1">
            <w:pPr>
              <w:jc w:val="center"/>
              <w:rPr>
                <w:szCs w:val="24"/>
              </w:rPr>
            </w:pPr>
            <w:bookmarkStart w:id="7" w:name="edoc_info2"/>
            <w:r>
              <w:rPr>
                <w:szCs w:val="24"/>
              </w:rPr>
              <w:t>(paraksts*)</w:t>
            </w:r>
            <w:bookmarkEnd w:id="7"/>
          </w:p>
        </w:tc>
        <w:tc>
          <w:tcPr>
            <w:tcW w:w="2977" w:type="dxa"/>
            <w:vAlign w:val="bottom"/>
          </w:tcPr>
          <w:p w:rsidR="00AA6DC1" w:rsidRPr="00615936" w:rsidRDefault="00765FBE" w:rsidP="00483407">
            <w:pPr>
              <w:jc w:val="right"/>
              <w:rPr>
                <w:szCs w:val="24"/>
              </w:rPr>
            </w:pPr>
            <w:r>
              <w:rPr>
                <w:szCs w:val="24"/>
              </w:rPr>
              <w:t>A.Eberhards</w:t>
            </w:r>
          </w:p>
        </w:tc>
      </w:tr>
      <w:tr w:rsidR="00AA6DC1" w:rsidRPr="00615936" w:rsidTr="00AA6DC1">
        <w:tc>
          <w:tcPr>
            <w:tcW w:w="4395" w:type="dxa"/>
          </w:tcPr>
          <w:p w:rsidR="00AA6DC1" w:rsidRPr="00615936" w:rsidRDefault="00AA6DC1" w:rsidP="007F3771">
            <w:pPr>
              <w:rPr>
                <w:szCs w:val="24"/>
              </w:rPr>
            </w:pPr>
          </w:p>
        </w:tc>
        <w:tc>
          <w:tcPr>
            <w:tcW w:w="1984" w:type="dxa"/>
          </w:tcPr>
          <w:p w:rsidR="00AA6DC1" w:rsidRPr="00615936" w:rsidRDefault="00AA6DC1" w:rsidP="000C0DD4">
            <w:pPr>
              <w:jc w:val="right"/>
              <w:rPr>
                <w:szCs w:val="24"/>
              </w:rPr>
            </w:pPr>
          </w:p>
        </w:tc>
        <w:tc>
          <w:tcPr>
            <w:tcW w:w="2977" w:type="dxa"/>
            <w:vAlign w:val="bottom"/>
          </w:tcPr>
          <w:p w:rsidR="00AA6DC1" w:rsidRPr="00615936" w:rsidRDefault="00AA6DC1" w:rsidP="000C0DD4">
            <w:pPr>
              <w:jc w:val="right"/>
              <w:rPr>
                <w:szCs w:val="24"/>
              </w:rPr>
            </w:pPr>
          </w:p>
        </w:tc>
      </w:tr>
    </w:tbl>
    <w:tbl>
      <w:tblPr>
        <w:tblW w:w="8647" w:type="dxa"/>
        <w:tblLook w:val="04A0" w:firstRow="1" w:lastRow="0" w:firstColumn="1" w:lastColumn="0" w:noHBand="0" w:noVBand="1"/>
      </w:tblPr>
      <w:tblGrid>
        <w:gridCol w:w="8647"/>
      </w:tblGrid>
      <w:tr w:rsidR="002D6CB4" w:rsidTr="00AA6DC1">
        <w:trPr>
          <w:cantSplit/>
          <w:trHeight w:val="615"/>
        </w:trPr>
        <w:tc>
          <w:tcPr>
            <w:tcW w:w="8647" w:type="dxa"/>
          </w:tcPr>
          <w:p w:rsidR="002D6CB4" w:rsidRPr="00AA6DC1" w:rsidRDefault="00AA6DC1" w:rsidP="00AA6DC1">
            <w:pPr>
              <w:pStyle w:val="BodyTextIndent"/>
              <w:tabs>
                <w:tab w:val="left" w:pos="8397"/>
              </w:tabs>
              <w:ind w:left="0"/>
              <w:rPr>
                <w:sz w:val="24"/>
                <w:szCs w:val="24"/>
              </w:rPr>
            </w:pPr>
            <w:bookmarkStart w:id="8" w:name="edoc_info" w:colFirst="0" w:colLast="0"/>
            <w:r w:rsidRPr="00AA6DC1">
              <w:rPr>
                <w:sz w:val="24"/>
                <w:szCs w:val="24"/>
              </w:rPr>
              <w:t>*Dokuments ir parakstīts ar drošu elektronisko parakstu</w:t>
            </w:r>
          </w:p>
        </w:tc>
      </w:tr>
      <w:bookmarkEnd w:id="8"/>
    </w:tbl>
    <w:p w:rsidR="00826D51" w:rsidRDefault="00826D51" w:rsidP="007F3771">
      <w:pPr>
        <w:rPr>
          <w:sz w:val="20"/>
        </w:rPr>
      </w:pPr>
    </w:p>
    <w:p w:rsidR="00765FBE" w:rsidRDefault="0020437B" w:rsidP="00550BA5">
      <w:pPr>
        <w:ind w:firstLine="142"/>
        <w:rPr>
          <w:sz w:val="20"/>
        </w:rPr>
      </w:pPr>
      <w:r>
        <w:rPr>
          <w:sz w:val="20"/>
        </w:rPr>
        <w:t xml:space="preserve">Naudiņa </w:t>
      </w:r>
      <w:r w:rsidRPr="00E264C8">
        <w:rPr>
          <w:noProof/>
          <w:sz w:val="20"/>
        </w:rPr>
        <w:t>67 095 631</w:t>
      </w:r>
      <w:r>
        <w:rPr>
          <w:sz w:val="20"/>
        </w:rPr>
        <w:t xml:space="preserve">  </w:t>
      </w:r>
      <w:r w:rsidR="00765FBE">
        <w:rPr>
          <w:sz w:val="20"/>
        </w:rPr>
        <w:t xml:space="preserve"> </w:t>
      </w:r>
    </w:p>
    <w:p w:rsidR="000C0DD4" w:rsidRDefault="00765FBE" w:rsidP="00550BA5">
      <w:pPr>
        <w:ind w:firstLine="142"/>
        <w:rPr>
          <w:sz w:val="20"/>
        </w:rPr>
      </w:pPr>
      <w:r>
        <w:rPr>
          <w:sz w:val="20"/>
        </w:rPr>
        <w:t>laura.naudina@fm.gov.lv</w:t>
      </w:r>
    </w:p>
    <w:sectPr w:rsidR="000C0DD4" w:rsidSect="002C22B9">
      <w:headerReference w:type="even" r:id="rId8"/>
      <w:headerReference w:type="default" r:id="rId9"/>
      <w:footerReference w:type="even" r:id="rId10"/>
      <w:footerReference w:type="default" r:id="rId11"/>
      <w:headerReference w:type="first" r:id="rId12"/>
      <w:footerReference w:type="first" r:id="rId13"/>
      <w:pgSz w:w="11907" w:h="16840" w:code="9"/>
      <w:pgMar w:top="567"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C6" w:rsidRDefault="00055BC6">
      <w:r>
        <w:separator/>
      </w:r>
    </w:p>
  </w:endnote>
  <w:endnote w:type="continuationSeparator" w:id="0">
    <w:p w:rsidR="00055BC6" w:rsidRDefault="000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9" w:rsidRDefault="002C2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2951"/>
      <w:docPartObj>
        <w:docPartGallery w:val="Page Numbers (Bottom of Page)"/>
        <w:docPartUnique/>
      </w:docPartObj>
    </w:sdtPr>
    <w:sdtEndPr/>
    <w:sdtContent>
      <w:p w:rsidR="0015384D" w:rsidRDefault="00DC1310">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0D6A81">
          <w:rPr>
            <w:noProof/>
            <w:sz w:val="24"/>
            <w:szCs w:val="24"/>
          </w:rPr>
          <w:t>2</w:t>
        </w:r>
        <w:r w:rsidRPr="00557B49">
          <w:rPr>
            <w:sz w:val="24"/>
            <w:szCs w:val="24"/>
          </w:rPr>
          <w:fldChar w:fldCharType="end"/>
        </w:r>
      </w:p>
    </w:sdtContent>
  </w:sdt>
  <w:p w:rsidR="0015384D" w:rsidRDefault="0015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D" w:rsidRDefault="0015384D">
    <w:pPr>
      <w:pStyle w:val="Footer"/>
      <w:jc w:val="center"/>
    </w:pPr>
  </w:p>
  <w:p w:rsidR="0015384D" w:rsidRDefault="0015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C6" w:rsidRDefault="00055BC6">
      <w:r>
        <w:separator/>
      </w:r>
    </w:p>
  </w:footnote>
  <w:footnote w:type="continuationSeparator" w:id="0">
    <w:p w:rsidR="00055BC6" w:rsidRDefault="00055BC6">
      <w:r>
        <w:continuationSeparator/>
      </w:r>
    </w:p>
  </w:footnote>
  <w:footnote w:id="1">
    <w:p w:rsidR="0020437B" w:rsidRPr="0054458C" w:rsidRDefault="0020437B" w:rsidP="0020437B">
      <w:pPr>
        <w:pStyle w:val="FootnoteText"/>
      </w:pPr>
      <w:r w:rsidRPr="0054458C">
        <w:rPr>
          <w:rStyle w:val="FootnoteReference"/>
        </w:rPr>
        <w:footnoteRef/>
      </w:r>
      <w:r w:rsidRPr="0054458C">
        <w:t xml:space="preserve"> Informatīvais ziņojums "Stratēģija Latvijai Covid-19 krīzes radīto seku mazināšanai",  </w:t>
      </w:r>
      <w:hyperlink r:id="rId1" w:history="1">
        <w:r w:rsidRPr="0054458C">
          <w:rPr>
            <w:rStyle w:val="Hyperlink"/>
          </w:rPr>
          <w:t>http://tap.mk.gov.lv/lv/mk/tap/?pid=40487682&amp;mode=mk&amp;date=2020-05-26</w:t>
        </w:r>
      </w:hyperlink>
      <w:r w:rsidRPr="005445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DC1310">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F33DBE" w:rsidP="008C508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9" w:rsidRDefault="002C22B9">
    <w:pPr>
      <w:pStyle w:val="Header"/>
    </w:pPr>
  </w:p>
  <w:p w:rsidR="002C22B9" w:rsidRDefault="002C22B9">
    <w:pPr>
      <w:pStyle w:val="Header"/>
    </w:pPr>
  </w:p>
  <w:p w:rsidR="002C22B9" w:rsidRDefault="002C22B9">
    <w:pPr>
      <w:pStyle w:val="Header"/>
    </w:pPr>
  </w:p>
  <w:p w:rsidR="002C22B9" w:rsidRDefault="0037045B" w:rsidP="002C22B9">
    <w:pPr>
      <w:pStyle w:val="Header"/>
      <w:tabs>
        <w:tab w:val="clear" w:pos="4153"/>
        <w:tab w:val="clear" w:pos="8306"/>
      </w:tabs>
    </w:pP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2030730</wp:posOffset>
              </wp:positionV>
              <wp:extent cx="5943600" cy="314325"/>
              <wp:effectExtent l="0" t="0" r="0" b="952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3" o:spid="_x0000_s1026" type="#_x0000_t202" style="position:absolute;left:0;text-align:left;margin-left:84pt;margin-top:159.9pt;width:468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drQIAAKs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" filled="f" stroked="f">
              <v:textbox inset="0,0,0,0">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v:textbox>
              <w10:wrap anchorx="page" anchory="page"/>
            </v:shape>
          </w:pict>
        </mc:Fallback>
      </mc:AlternateContent>
    </w:r>
    <w:r w:rsidR="002C22B9" w:rsidRPr="002C22B9">
      <w:rPr>
        <w:noProof/>
        <w:lang w:eastAsia="lv-LV"/>
      </w:rPr>
      <w:drawing>
        <wp:anchor distT="0" distB="0" distL="114300" distR="114300" simplePos="0" relativeHeight="251661312" behindDoc="1" locked="0" layoutInCell="1" allowOverlap="1" wp14:anchorId="2F0F1E84" wp14:editId="721281F2">
          <wp:simplePos x="0" y="0"/>
          <wp:positionH relativeFrom="margin">
            <wp:posOffset>75565</wp:posOffset>
          </wp:positionH>
          <wp:positionV relativeFrom="page">
            <wp:posOffset>711200</wp:posOffset>
          </wp:positionV>
          <wp:extent cx="5914390" cy="1065600"/>
          <wp:effectExtent l="0" t="0" r="0" b="0"/>
          <wp:wrapNone/>
          <wp:docPr id="8" name="Picture 8"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krod\Desktop\veidlapas_jaunas\paraugi\vienkrasu_header_veidlapa_22.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contrast="100000"/>
                            </a14:imgEffect>
                          </a14:imgLayer>
                        </a14:imgProps>
                      </a:ext>
                      <a:ext uri="{28A0092B-C50C-407E-A947-70E740481C1C}">
                        <a14:useLocalDpi xmlns:a14="http://schemas.microsoft.com/office/drawing/2010/main" val="0"/>
                      </a:ext>
                    </a:extLst>
                  </a:blip>
                  <a:srcRect l="1249" t="1374" r="-1249" b="-1372"/>
                  <a:stretch/>
                </pic:blipFill>
                <pic:spPr bwMode="auto">
                  <a:xfrm>
                    <a:off x="0" y="0"/>
                    <a:ext cx="5914390" cy="106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37045B">
    <w:pPr>
      <w:pStyle w:val="Header"/>
    </w:pPr>
    <w:r>
      <w:rPr>
        <w:noProof/>
        <w:lang w:eastAsia="lv-LV"/>
      </w:rPr>
      <mc:AlternateContent>
        <mc:Choice Requires="wpg">
          <w:drawing>
            <wp:anchor distT="0" distB="0" distL="114300" distR="114300" simplePos="0" relativeHeight="251659264" behindDoc="1" locked="0" layoutInCell="1" allowOverlap="1">
              <wp:simplePos x="0" y="0"/>
              <wp:positionH relativeFrom="margin">
                <wp:posOffset>-34290</wp:posOffset>
              </wp:positionH>
              <wp:positionV relativeFrom="page">
                <wp:posOffset>1903095</wp:posOffset>
              </wp:positionV>
              <wp:extent cx="5937250" cy="45085"/>
              <wp:effectExtent l="0" t="0" r="25400" b="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45085"/>
                        <a:chOff x="2915" y="2998"/>
                        <a:chExt cx="6926" cy="2"/>
                      </a:xfrm>
                    </wpg:grpSpPr>
                    <wps:wsp>
                      <wps:cNvPr id="10"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B1329D" id="Group 41" o:spid="_x0000_s1026" style="position:absolute;margin-left:-2.7pt;margin-top:149.85pt;width:467.5pt;height:3.55pt;z-index:-251657216;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nmMYA&#10;AADbAAAADwAAAGRycy9kb3ducmV2LnhtbESPQUvDQBCF70L/wzKCF7GbWio27bYUsdB6MwribcxO&#10;k2B2Nu6uadpf7xwK3mZ4b977ZrkeXKt6CrHxbGAyzkARl942XBl4f9vePYKKCdli65kMnCjCejW6&#10;WmJu/ZFfqS9SpSSEY44G6pS6XOtY1uQwjn1HLNrBB4dJ1lBpG/Ao4a7V91n2oB02LA01dvRUU/ld&#10;/DoDL9l0Pvv4muh5oW9/bNj3n8/n3pib62GzAJVoSP/my/XO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cnmMYAAADbAAAADwAAAAAAAAAAAAAAAACYAgAAZHJz&#10;L2Rvd25yZXYueG1sUEsFBgAAAAAEAAQA9QAAAIsDAAAAAA==&#10;" path="m,l6926,e" filled="f" strokecolor="#231f20" strokeweight=".25pt">
                <v:path arrowok="t" o:connecttype="custom" o:connectlocs="0,0;6926,0" o:connectangles="0,0"/>
              </v:shape>
              <w10:wrap anchorx="margin" anchory="page"/>
            </v:group>
          </w:pict>
        </mc:Fallback>
      </mc:AlternateContent>
    </w:r>
  </w:p>
  <w:p w:rsidR="002C22B9" w:rsidRDefault="002C22B9">
    <w:pPr>
      <w:pStyle w:val="Header"/>
    </w:pPr>
  </w:p>
  <w:p w:rsidR="002C22B9" w:rsidRDefault="002C22B9">
    <w:pPr>
      <w:pStyle w:val="Header"/>
    </w:pPr>
  </w:p>
  <w:p w:rsidR="002C22B9" w:rsidRDefault="002C2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467BA"/>
    <w:multiLevelType w:val="hybridMultilevel"/>
    <w:tmpl w:val="880A76E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1"/>
    <w:rsid w:val="0002005E"/>
    <w:rsid w:val="00025906"/>
    <w:rsid w:val="00051BDB"/>
    <w:rsid w:val="00054277"/>
    <w:rsid w:val="00055BC6"/>
    <w:rsid w:val="00062D32"/>
    <w:rsid w:val="00063804"/>
    <w:rsid w:val="000704C8"/>
    <w:rsid w:val="00072A98"/>
    <w:rsid w:val="0008360A"/>
    <w:rsid w:val="000859B0"/>
    <w:rsid w:val="00086189"/>
    <w:rsid w:val="000A0A49"/>
    <w:rsid w:val="000A2273"/>
    <w:rsid w:val="000A4A49"/>
    <w:rsid w:val="000B5E98"/>
    <w:rsid w:val="000B75CE"/>
    <w:rsid w:val="000C0DD4"/>
    <w:rsid w:val="000C1481"/>
    <w:rsid w:val="000D6A81"/>
    <w:rsid w:val="000E05A4"/>
    <w:rsid w:val="000E7902"/>
    <w:rsid w:val="00101EF2"/>
    <w:rsid w:val="00102247"/>
    <w:rsid w:val="001042A3"/>
    <w:rsid w:val="00114955"/>
    <w:rsid w:val="00130802"/>
    <w:rsid w:val="001421E1"/>
    <w:rsid w:val="001428D4"/>
    <w:rsid w:val="001459C6"/>
    <w:rsid w:val="00146475"/>
    <w:rsid w:val="00146FE3"/>
    <w:rsid w:val="0015384D"/>
    <w:rsid w:val="00156874"/>
    <w:rsid w:val="00160F55"/>
    <w:rsid w:val="0017402C"/>
    <w:rsid w:val="00176F63"/>
    <w:rsid w:val="00184AB5"/>
    <w:rsid w:val="001943EE"/>
    <w:rsid w:val="001D78A7"/>
    <w:rsid w:val="001F53D9"/>
    <w:rsid w:val="00203705"/>
    <w:rsid w:val="0020437B"/>
    <w:rsid w:val="0021300E"/>
    <w:rsid w:val="00220CEE"/>
    <w:rsid w:val="00224396"/>
    <w:rsid w:val="00227D91"/>
    <w:rsid w:val="0023013F"/>
    <w:rsid w:val="00235349"/>
    <w:rsid w:val="00244390"/>
    <w:rsid w:val="00260557"/>
    <w:rsid w:val="00261352"/>
    <w:rsid w:val="002644F0"/>
    <w:rsid w:val="00266CF2"/>
    <w:rsid w:val="00267E3D"/>
    <w:rsid w:val="00292E11"/>
    <w:rsid w:val="0029448D"/>
    <w:rsid w:val="002A20A3"/>
    <w:rsid w:val="002B2B9A"/>
    <w:rsid w:val="002C22B9"/>
    <w:rsid w:val="002D0DAE"/>
    <w:rsid w:val="002D2EFD"/>
    <w:rsid w:val="002D6CB4"/>
    <w:rsid w:val="002E06CD"/>
    <w:rsid w:val="002E288C"/>
    <w:rsid w:val="002E5308"/>
    <w:rsid w:val="002F5D59"/>
    <w:rsid w:val="003026CE"/>
    <w:rsid w:val="00302D28"/>
    <w:rsid w:val="00304112"/>
    <w:rsid w:val="003043C9"/>
    <w:rsid w:val="00314B6D"/>
    <w:rsid w:val="0031519D"/>
    <w:rsid w:val="00325CE2"/>
    <w:rsid w:val="00330C2A"/>
    <w:rsid w:val="00332AF9"/>
    <w:rsid w:val="00341839"/>
    <w:rsid w:val="0037045B"/>
    <w:rsid w:val="00374C0D"/>
    <w:rsid w:val="00380855"/>
    <w:rsid w:val="00383D87"/>
    <w:rsid w:val="00386F28"/>
    <w:rsid w:val="00392EBE"/>
    <w:rsid w:val="00393EB9"/>
    <w:rsid w:val="00396BF4"/>
    <w:rsid w:val="003A324A"/>
    <w:rsid w:val="003B329B"/>
    <w:rsid w:val="003B4764"/>
    <w:rsid w:val="003D09AE"/>
    <w:rsid w:val="003D179D"/>
    <w:rsid w:val="003F2252"/>
    <w:rsid w:val="003F2673"/>
    <w:rsid w:val="003F4635"/>
    <w:rsid w:val="003F79A5"/>
    <w:rsid w:val="004059A7"/>
    <w:rsid w:val="004218E7"/>
    <w:rsid w:val="004241B4"/>
    <w:rsid w:val="00434A02"/>
    <w:rsid w:val="0043643E"/>
    <w:rsid w:val="004478B9"/>
    <w:rsid w:val="00474D18"/>
    <w:rsid w:val="00483407"/>
    <w:rsid w:val="0049532A"/>
    <w:rsid w:val="004E2880"/>
    <w:rsid w:val="004E45F2"/>
    <w:rsid w:val="004E4C3B"/>
    <w:rsid w:val="004F221F"/>
    <w:rsid w:val="004F32A1"/>
    <w:rsid w:val="004F671B"/>
    <w:rsid w:val="004F7DFD"/>
    <w:rsid w:val="005053F3"/>
    <w:rsid w:val="00513B65"/>
    <w:rsid w:val="00526E86"/>
    <w:rsid w:val="0053353D"/>
    <w:rsid w:val="00546FDE"/>
    <w:rsid w:val="00550841"/>
    <w:rsid w:val="00550BA5"/>
    <w:rsid w:val="00557B49"/>
    <w:rsid w:val="0056044A"/>
    <w:rsid w:val="00566B07"/>
    <w:rsid w:val="00583887"/>
    <w:rsid w:val="00583F38"/>
    <w:rsid w:val="005846CE"/>
    <w:rsid w:val="00584ED6"/>
    <w:rsid w:val="005910E7"/>
    <w:rsid w:val="005A0BBB"/>
    <w:rsid w:val="005D7171"/>
    <w:rsid w:val="005E3D1E"/>
    <w:rsid w:val="005F3139"/>
    <w:rsid w:val="00613984"/>
    <w:rsid w:val="00615936"/>
    <w:rsid w:val="006205B8"/>
    <w:rsid w:val="00622CFD"/>
    <w:rsid w:val="006240D2"/>
    <w:rsid w:val="00636996"/>
    <w:rsid w:val="00642EE6"/>
    <w:rsid w:val="00643F3C"/>
    <w:rsid w:val="006610B8"/>
    <w:rsid w:val="00667635"/>
    <w:rsid w:val="00683E8B"/>
    <w:rsid w:val="00686F12"/>
    <w:rsid w:val="00697AB8"/>
    <w:rsid w:val="006A05F7"/>
    <w:rsid w:val="006A3594"/>
    <w:rsid w:val="006A707B"/>
    <w:rsid w:val="006B33CB"/>
    <w:rsid w:val="006B42A2"/>
    <w:rsid w:val="006D24EC"/>
    <w:rsid w:val="006D6710"/>
    <w:rsid w:val="006E45DD"/>
    <w:rsid w:val="006E689E"/>
    <w:rsid w:val="006E6DBE"/>
    <w:rsid w:val="00701105"/>
    <w:rsid w:val="0070258A"/>
    <w:rsid w:val="00706C69"/>
    <w:rsid w:val="0070718E"/>
    <w:rsid w:val="0071276C"/>
    <w:rsid w:val="00730E2D"/>
    <w:rsid w:val="00733696"/>
    <w:rsid w:val="00733C31"/>
    <w:rsid w:val="007523B6"/>
    <w:rsid w:val="00765592"/>
    <w:rsid w:val="00765FBE"/>
    <w:rsid w:val="00786DAF"/>
    <w:rsid w:val="00792DE6"/>
    <w:rsid w:val="007A5BA9"/>
    <w:rsid w:val="007A73EC"/>
    <w:rsid w:val="007B32A0"/>
    <w:rsid w:val="007C5B7E"/>
    <w:rsid w:val="007E021E"/>
    <w:rsid w:val="007E7EA0"/>
    <w:rsid w:val="007F3771"/>
    <w:rsid w:val="007F6888"/>
    <w:rsid w:val="00812E64"/>
    <w:rsid w:val="008237C6"/>
    <w:rsid w:val="00826D51"/>
    <w:rsid w:val="008360BD"/>
    <w:rsid w:val="00837277"/>
    <w:rsid w:val="0086567E"/>
    <w:rsid w:val="00866595"/>
    <w:rsid w:val="00875EF1"/>
    <w:rsid w:val="00884446"/>
    <w:rsid w:val="00886C8A"/>
    <w:rsid w:val="008A5EC1"/>
    <w:rsid w:val="008C508E"/>
    <w:rsid w:val="008C65E9"/>
    <w:rsid w:val="008D22AE"/>
    <w:rsid w:val="008E4EA4"/>
    <w:rsid w:val="008E4FE5"/>
    <w:rsid w:val="008F1369"/>
    <w:rsid w:val="008F15DF"/>
    <w:rsid w:val="008F2376"/>
    <w:rsid w:val="00903B9C"/>
    <w:rsid w:val="00911470"/>
    <w:rsid w:val="00920076"/>
    <w:rsid w:val="009212D8"/>
    <w:rsid w:val="009328EF"/>
    <w:rsid w:val="00963ACC"/>
    <w:rsid w:val="00973529"/>
    <w:rsid w:val="009819D5"/>
    <w:rsid w:val="0098433C"/>
    <w:rsid w:val="00996DC8"/>
    <w:rsid w:val="009B2296"/>
    <w:rsid w:val="009B7929"/>
    <w:rsid w:val="009C643F"/>
    <w:rsid w:val="009E200C"/>
    <w:rsid w:val="009F3293"/>
    <w:rsid w:val="009F77B9"/>
    <w:rsid w:val="00A03231"/>
    <w:rsid w:val="00A17946"/>
    <w:rsid w:val="00A21D44"/>
    <w:rsid w:val="00A30AED"/>
    <w:rsid w:val="00A318B0"/>
    <w:rsid w:val="00A4004D"/>
    <w:rsid w:val="00A54546"/>
    <w:rsid w:val="00A87DFA"/>
    <w:rsid w:val="00A94030"/>
    <w:rsid w:val="00AA21A4"/>
    <w:rsid w:val="00AA6DC1"/>
    <w:rsid w:val="00AA74E7"/>
    <w:rsid w:val="00AB2288"/>
    <w:rsid w:val="00AB278E"/>
    <w:rsid w:val="00AC60C1"/>
    <w:rsid w:val="00AD576B"/>
    <w:rsid w:val="00AE2200"/>
    <w:rsid w:val="00AF21C7"/>
    <w:rsid w:val="00B26E48"/>
    <w:rsid w:val="00B30E51"/>
    <w:rsid w:val="00B45C16"/>
    <w:rsid w:val="00B9570C"/>
    <w:rsid w:val="00BB4400"/>
    <w:rsid w:val="00BD24E4"/>
    <w:rsid w:val="00BE3E7A"/>
    <w:rsid w:val="00BE5011"/>
    <w:rsid w:val="00BE78C7"/>
    <w:rsid w:val="00BF11EB"/>
    <w:rsid w:val="00BF233C"/>
    <w:rsid w:val="00C038B7"/>
    <w:rsid w:val="00C041F7"/>
    <w:rsid w:val="00C04DED"/>
    <w:rsid w:val="00C21975"/>
    <w:rsid w:val="00C345B8"/>
    <w:rsid w:val="00C375DF"/>
    <w:rsid w:val="00C44804"/>
    <w:rsid w:val="00C45100"/>
    <w:rsid w:val="00C50C30"/>
    <w:rsid w:val="00C53A90"/>
    <w:rsid w:val="00C54CFF"/>
    <w:rsid w:val="00C56C1D"/>
    <w:rsid w:val="00C6145F"/>
    <w:rsid w:val="00C640B7"/>
    <w:rsid w:val="00C81055"/>
    <w:rsid w:val="00C87CD4"/>
    <w:rsid w:val="00CD3BB8"/>
    <w:rsid w:val="00CE0655"/>
    <w:rsid w:val="00CF7CC2"/>
    <w:rsid w:val="00D0332A"/>
    <w:rsid w:val="00D06A60"/>
    <w:rsid w:val="00D1142D"/>
    <w:rsid w:val="00D149A6"/>
    <w:rsid w:val="00D3049B"/>
    <w:rsid w:val="00D4070C"/>
    <w:rsid w:val="00D462B6"/>
    <w:rsid w:val="00D51CC7"/>
    <w:rsid w:val="00D57801"/>
    <w:rsid w:val="00D65123"/>
    <w:rsid w:val="00D70A7C"/>
    <w:rsid w:val="00D72831"/>
    <w:rsid w:val="00D73652"/>
    <w:rsid w:val="00D873B0"/>
    <w:rsid w:val="00DA3EAF"/>
    <w:rsid w:val="00DA7256"/>
    <w:rsid w:val="00DA7D9E"/>
    <w:rsid w:val="00DB1E3A"/>
    <w:rsid w:val="00DB5AB6"/>
    <w:rsid w:val="00DC1310"/>
    <w:rsid w:val="00DC1600"/>
    <w:rsid w:val="00DC461E"/>
    <w:rsid w:val="00DD4524"/>
    <w:rsid w:val="00DD56CC"/>
    <w:rsid w:val="00DD5E25"/>
    <w:rsid w:val="00DE7EC9"/>
    <w:rsid w:val="00DF1EC1"/>
    <w:rsid w:val="00DF75CE"/>
    <w:rsid w:val="00E04F00"/>
    <w:rsid w:val="00E0527A"/>
    <w:rsid w:val="00E13483"/>
    <w:rsid w:val="00E15F9B"/>
    <w:rsid w:val="00E25982"/>
    <w:rsid w:val="00E3743F"/>
    <w:rsid w:val="00E44ADB"/>
    <w:rsid w:val="00E71316"/>
    <w:rsid w:val="00E95294"/>
    <w:rsid w:val="00EA7310"/>
    <w:rsid w:val="00EB1825"/>
    <w:rsid w:val="00EB2C30"/>
    <w:rsid w:val="00EE1908"/>
    <w:rsid w:val="00EF2339"/>
    <w:rsid w:val="00F06A13"/>
    <w:rsid w:val="00F14918"/>
    <w:rsid w:val="00F220D5"/>
    <w:rsid w:val="00F33DBE"/>
    <w:rsid w:val="00F33E54"/>
    <w:rsid w:val="00F35615"/>
    <w:rsid w:val="00F365B1"/>
    <w:rsid w:val="00F37820"/>
    <w:rsid w:val="00F462A6"/>
    <w:rsid w:val="00F62E54"/>
    <w:rsid w:val="00F84ADE"/>
    <w:rsid w:val="00F949B7"/>
    <w:rsid w:val="00F952BC"/>
    <w:rsid w:val="00FB1DB2"/>
    <w:rsid w:val="00FB225E"/>
    <w:rsid w:val="00FD644A"/>
    <w:rsid w:val="00FE2AC9"/>
    <w:rsid w:val="00FE7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99BFC-0B14-4ABE-B442-61A8F77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Schriftart: 9 pt,ft"/>
    <w:basedOn w:val="Normal"/>
    <w:link w:val="FootnoteTextChar"/>
    <w:uiPriority w:val="99"/>
    <w:qFormat/>
    <w:rsid w:val="00903B9C"/>
    <w:rPr>
      <w:sz w:val="20"/>
    </w:rPr>
  </w:style>
  <w:style w:type="character" w:styleId="FootnoteReference">
    <w:name w:val="footnote reference"/>
    <w:aliases w:val="Footnote Reference Number,Footnote symbol,Footnote Reference Superscript,Footnote Refernece,Footnote number,Footnote reference number,Times 10 Point,Exposant 3 Point,EN Footnote Reference,note TESI,Voetnootverwijzing,fr,o,FR,FR1,ftref"/>
    <w:link w:val="FootnotesymbolCarZchn"/>
    <w:uiPriority w:val="99"/>
    <w:qFormat/>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ft Char"/>
    <w:link w:val="FootnoteText"/>
    <w:uiPriority w:val="99"/>
    <w:qFormat/>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0437B"/>
    <w:pPr>
      <w:spacing w:after="160" w:line="240" w:lineRule="exact"/>
    </w:pPr>
    <w:rPr>
      <w:sz w:val="20"/>
      <w:vertAlign w:val="superscript"/>
      <w:lang w:eastAsia="lv-LV"/>
    </w:rPr>
  </w:style>
  <w:style w:type="paragraph" w:styleId="NormalWeb">
    <w:name w:val="Normal (Web)"/>
    <w:basedOn w:val="Normal"/>
    <w:uiPriority w:val="99"/>
    <w:unhideWhenUsed/>
    <w:rsid w:val="0020437B"/>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87682&amp;mode=mk&amp;date=2020-05-26"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5584E-C2B4-4576-9970-716D80FE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3101</Words>
  <Characters>1768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Eiropas Savienības struktūrfondu un Kohēzijas</dc:subject>
  <dc:creator>Naudiņa L.</dc:creator>
  <dc:description>Sagatavots ALS E-aprites vidē.</dc:description>
  <cp:lastModifiedBy>FM</cp:lastModifiedBy>
  <cp:revision>2</cp:revision>
  <cp:lastPrinted>2007-06-25T10:49:00Z</cp:lastPrinted>
  <dcterms:created xsi:type="dcterms:W3CDTF">2021-01-20T06:38:00Z</dcterms:created>
  <dcterms:modified xsi:type="dcterms:W3CDTF">2021-01-20T06:38:00Z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