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F43" w:rsidRDefault="00A11F43">
      <w:pPr>
        <w:pStyle w:val="Title"/>
        <w:outlineLvl w:val="0"/>
      </w:pPr>
      <w:r>
        <w:t>LATVIJAS REPUBLIKAS MINISTRU KABINETA SĒDE</w:t>
      </w:r>
    </w:p>
    <w:p w:rsidR="00A11F43" w:rsidRDefault="00A11F43">
      <w:pPr>
        <w:pStyle w:val="Title"/>
      </w:pPr>
      <w:r>
        <w:t>___________________________________________________________</w:t>
      </w:r>
    </w:p>
    <w:p w:rsidR="00A11F43" w:rsidRDefault="00A11F43">
      <w:pPr>
        <w:pStyle w:val="Title"/>
        <w:outlineLvl w:val="0"/>
      </w:pPr>
      <w:r>
        <w:rPr>
          <w:i/>
        </w:rPr>
        <w:t>protokola izraksts</w:t>
      </w:r>
    </w:p>
    <w:p w:rsidR="00A11F43" w:rsidRDefault="00A11F43">
      <w:pPr>
        <w:jc w:val="center"/>
      </w:pPr>
    </w:p>
    <w:p w:rsidR="00A11F43" w:rsidRDefault="00A11F43">
      <w:pPr>
        <w:jc w:val="center"/>
      </w:pPr>
    </w:p>
    <w:p w:rsidR="00A11F43" w:rsidRDefault="00A11F43">
      <w:pPr>
        <w:tabs>
          <w:tab w:val="left" w:pos="6804"/>
        </w:tabs>
        <w:ind w:firstLine="709"/>
      </w:pPr>
    </w:p>
    <w:tbl>
      <w:tblPr>
        <w:tblW w:w="9214" w:type="dxa"/>
        <w:tblInd w:w="250" w:type="dxa"/>
        <w:tblLayout w:type="fixed"/>
        <w:tblLook w:val="0000" w:firstRow="0" w:lastRow="0" w:firstColumn="0" w:lastColumn="0" w:noHBand="0" w:noVBand="0"/>
      </w:tblPr>
      <w:tblGrid>
        <w:gridCol w:w="3967"/>
        <w:gridCol w:w="886"/>
        <w:gridCol w:w="4361"/>
      </w:tblGrid>
      <w:tr w:rsidR="00A11F43">
        <w:trPr>
          <w:cantSplit/>
        </w:trPr>
        <w:tc>
          <w:tcPr>
            <w:tcW w:w="3967" w:type="dxa"/>
          </w:tcPr>
          <w:p w:rsidR="00A11F43" w:rsidRDefault="00A11F43">
            <w:r>
              <w:t>Rīgā</w:t>
            </w:r>
          </w:p>
        </w:tc>
        <w:tc>
          <w:tcPr>
            <w:tcW w:w="886" w:type="dxa"/>
          </w:tcPr>
          <w:p w:rsidR="00A11F43" w:rsidRDefault="00A11F43">
            <w:r>
              <w:t>Nr.28</w:t>
            </w:r>
          </w:p>
        </w:tc>
        <w:tc>
          <w:tcPr>
            <w:tcW w:w="4361" w:type="dxa"/>
          </w:tcPr>
          <w:p w:rsidR="00A11F43" w:rsidRDefault="00A11F43">
            <w:pPr>
              <w:jc w:val="right"/>
            </w:pPr>
            <w:r>
              <w:t>2010.gada 1.jūnijā</w:t>
            </w:r>
          </w:p>
        </w:tc>
      </w:tr>
    </w:tbl>
    <w:p w:rsidR="00A11F43" w:rsidRDefault="00A11F43">
      <w:pPr>
        <w:tabs>
          <w:tab w:val="left" w:pos="6804"/>
        </w:tabs>
        <w:ind w:firstLine="709"/>
      </w:pPr>
    </w:p>
    <w:p w:rsidR="00A11F43" w:rsidRDefault="00A11F43">
      <w:pPr>
        <w:pStyle w:val="BodyText"/>
        <w:jc w:val="center"/>
        <w:rPr>
          <w:b/>
          <w:szCs w:val="28"/>
        </w:rPr>
      </w:pPr>
    </w:p>
    <w:p w:rsidR="00A11F43" w:rsidRDefault="00A11F43">
      <w:pPr>
        <w:pStyle w:val="BodyText"/>
        <w:jc w:val="center"/>
        <w:rPr>
          <w:b/>
          <w:szCs w:val="28"/>
        </w:rPr>
      </w:pPr>
      <w:r>
        <w:rPr>
          <w:b/>
          <w:szCs w:val="28"/>
        </w:rPr>
        <w:t>58.§</w:t>
      </w:r>
    </w:p>
    <w:p w:rsidR="00A11F43" w:rsidRDefault="00A11F43">
      <w:pPr>
        <w:pStyle w:val="BodyText"/>
        <w:jc w:val="center"/>
        <w:rPr>
          <w:b/>
          <w:szCs w:val="28"/>
        </w:rPr>
      </w:pPr>
    </w:p>
    <w:p w:rsidR="00A11F43" w:rsidRDefault="00A11F43">
      <w:pPr>
        <w:pStyle w:val="BodyText"/>
        <w:jc w:val="center"/>
        <w:outlineLvl w:val="0"/>
        <w:rPr>
          <w:b/>
          <w:szCs w:val="28"/>
        </w:rPr>
      </w:pPr>
      <w:r>
        <w:rPr>
          <w:b/>
          <w:bCs/>
          <w:szCs w:val="28"/>
        </w:rPr>
        <w:t>Par akciju sabiedrību „Parex banka”</w:t>
      </w:r>
    </w:p>
    <w:p w:rsidR="00A11F43" w:rsidRDefault="00A11F43">
      <w:pPr>
        <w:pStyle w:val="BodyText"/>
        <w:rPr>
          <w:b/>
          <w:sz w:val="24"/>
          <w:szCs w:val="24"/>
        </w:rPr>
      </w:pPr>
      <w:r>
        <w:rPr>
          <w:b/>
          <w:sz w:val="24"/>
          <w:szCs w:val="24"/>
        </w:rPr>
        <w:t xml:space="preserve">     TA-1486-DV </w:t>
      </w:r>
    </w:p>
    <w:p w:rsidR="00A11F43" w:rsidRDefault="00A11F43">
      <w:pPr>
        <w:pStyle w:val="Header"/>
        <w:tabs>
          <w:tab w:val="left" w:pos="720"/>
        </w:tabs>
        <w:ind w:firstLine="720"/>
        <w:jc w:val="both"/>
        <w:rPr>
          <w:szCs w:val="20"/>
        </w:rPr>
      </w:pPr>
      <w:r>
        <w:t>______________________________________________________</w:t>
      </w:r>
    </w:p>
    <w:p w:rsidR="00A11F43" w:rsidRDefault="00A11F43">
      <w:pPr>
        <w:jc w:val="center"/>
        <w:rPr>
          <w:sz w:val="24"/>
        </w:rPr>
      </w:pPr>
      <w:r>
        <w:rPr>
          <w:sz w:val="24"/>
        </w:rPr>
        <w:t xml:space="preserve">(J.Jākobsons, </w:t>
      </w:r>
      <w:proofErr w:type="spellStart"/>
      <w:r>
        <w:rPr>
          <w:sz w:val="24"/>
        </w:rPr>
        <w:t>E.Berlaus</w:t>
      </w:r>
      <w:proofErr w:type="spellEnd"/>
      <w:r>
        <w:rPr>
          <w:sz w:val="24"/>
        </w:rPr>
        <w:t>, E.Repše)</w:t>
      </w:r>
    </w:p>
    <w:p w:rsidR="00A11F43" w:rsidRDefault="00A11F43">
      <w:pPr>
        <w:tabs>
          <w:tab w:val="left" w:pos="6804"/>
        </w:tabs>
        <w:ind w:firstLine="709"/>
        <w:jc w:val="both"/>
      </w:pPr>
    </w:p>
    <w:p w:rsidR="00A11F43" w:rsidRDefault="00A11F43">
      <w:pPr>
        <w:ind w:firstLine="720"/>
        <w:jc w:val="both"/>
      </w:pPr>
    </w:p>
    <w:p w:rsidR="00A11F43" w:rsidRDefault="00A11F43">
      <w:pPr>
        <w:ind w:firstLine="720"/>
        <w:jc w:val="both"/>
      </w:pPr>
      <w:r>
        <w:t>1.</w:t>
      </w:r>
      <w:r w:rsidR="009B2A1C">
        <w:t> </w:t>
      </w:r>
      <w:r w:rsidR="0076492B" w:rsidRPr="0076492B">
        <w:rPr>
          <w:strike/>
        </w:rPr>
        <w:t>(DV)</w:t>
      </w:r>
      <w:r w:rsidR="009B2A1C">
        <w:rPr>
          <w:rStyle w:val="FootnoteReference"/>
          <w:strike/>
        </w:rPr>
        <w:footnoteReference w:id="1"/>
      </w:r>
      <w:r w:rsidR="0076492B" w:rsidRPr="0076492B">
        <w:t xml:space="preserve"> </w:t>
      </w:r>
      <w:r w:rsidR="0076492B">
        <w:rPr>
          <w:strike/>
        </w:rPr>
        <w:t>(IP)</w:t>
      </w:r>
      <w:r w:rsidR="002714A5">
        <w:rPr>
          <w:rStyle w:val="FootnoteReference"/>
          <w:strike/>
        </w:rPr>
        <w:footnoteReference w:id="2"/>
      </w:r>
      <w:r w:rsidR="0076492B">
        <w:t xml:space="preserve"> </w:t>
      </w:r>
      <w:r>
        <w:t xml:space="preserve">Apstiprināt Latvijas pozīciju sarunām ar Eiropas Rekonstrukcijas un attīstības banku par tās iesaisti akciju sabiedrības „Parex banka” restrukturizācijas rezultātā izveidojamajās vienībās „Jaunajā bankā” un „Risinājuma bankā”, kas atbalstīta ar Ministru kabineta 2009.gada 3.decembra rīkojumu Nr.821 izveidotajā darba grupā, īstenojot ar Ministru kabineta 2010. gada 14. aprīļa rīkojumu Nr. 208 „Par koncepciju „Par akciju sabiedrības „Parex banka” restrukturizāciju” atbalstīto akciju sabiedrības „Parex banka” restrukturizācijas modeli – „Jaunās bankas nodalīšana”. </w:t>
      </w:r>
    </w:p>
    <w:p w:rsidR="00A11F43" w:rsidRDefault="009B2A1C">
      <w:pPr>
        <w:ind w:firstLine="720"/>
        <w:jc w:val="both"/>
      </w:pPr>
      <w:r>
        <w:t>2. </w:t>
      </w:r>
      <w:r w:rsidR="0076492B" w:rsidRPr="002714A5">
        <w:rPr>
          <w:strike/>
        </w:rPr>
        <w:t>(DV)</w:t>
      </w:r>
      <w:r w:rsidR="002714A5" w:rsidRPr="002714A5">
        <w:rPr>
          <w:vertAlign w:val="superscript"/>
        </w:rPr>
        <w:t>1</w:t>
      </w:r>
      <w:r w:rsidR="002714A5">
        <w:t> </w:t>
      </w:r>
      <w:r w:rsidR="002714A5" w:rsidRPr="002714A5">
        <w:rPr>
          <w:strike/>
        </w:rPr>
        <w:t>(IP)</w:t>
      </w:r>
      <w:r w:rsidR="002714A5" w:rsidRPr="002714A5">
        <w:rPr>
          <w:vertAlign w:val="superscript"/>
        </w:rPr>
        <w:t>2</w:t>
      </w:r>
      <w:r w:rsidR="002714A5">
        <w:t> </w:t>
      </w:r>
      <w:r w:rsidR="00A11F43">
        <w:t xml:space="preserve">Valsts akciju sabiedrībai „Privatizācijas aģentūra” vest sarunas ar Eiropas Rekonstrukcijas un attīstības banku par šī </w:t>
      </w:r>
      <w:proofErr w:type="spellStart"/>
      <w:r w:rsidR="00A11F43">
        <w:t>protokollēmuma</w:t>
      </w:r>
      <w:proofErr w:type="spellEnd"/>
      <w:r w:rsidR="00A11F43">
        <w:t xml:space="preserve"> 1.punktā minētās pozīcijas ievērošanu, sagatavojot nepieciešamos grozījumus Akciju pirkuma līgumā un Akcionāru līgumā, kas starp valsts akciju sabiedrību „Privatizācijas aģentūra”, Latvijas Republiku, Eiropas rekonstrukcijas un attīstības banku un akciju sabiedrību „Parex banka” (jaunajā redakcijā ar grozījumiem) parakstīts 2009. gada</w:t>
      </w:r>
      <w:proofErr w:type="gramStart"/>
      <w:r w:rsidR="00A11F43">
        <w:t xml:space="preserve">  </w:t>
      </w:r>
      <w:proofErr w:type="gramEnd"/>
      <w:r w:rsidR="00A11F43">
        <w:t>23. jūlijā, kā arī jaunu Akcionāru līguma projektu par Eiropas Rekonstrukcijas un attīstības bankas iesaisti restrukturizācijas rezultātā izveidojamā „Jaunajā bankā”.</w:t>
      </w:r>
    </w:p>
    <w:p w:rsidR="00A11F43" w:rsidRDefault="00A11F43">
      <w:pPr>
        <w:ind w:firstLine="720"/>
        <w:jc w:val="both"/>
      </w:pPr>
      <w:r>
        <w:t>3.</w:t>
      </w:r>
      <w:r w:rsidR="002714A5">
        <w:t> </w:t>
      </w:r>
      <w:r w:rsidR="002714A5" w:rsidRPr="002714A5">
        <w:rPr>
          <w:strike/>
        </w:rPr>
        <w:t>(DV)</w:t>
      </w:r>
      <w:r w:rsidR="002714A5" w:rsidRPr="002714A5">
        <w:rPr>
          <w:vertAlign w:val="superscript"/>
        </w:rPr>
        <w:t>1</w:t>
      </w:r>
      <w:r w:rsidR="002714A5">
        <w:t> </w:t>
      </w:r>
      <w:r w:rsidR="002714A5" w:rsidRPr="002714A5">
        <w:rPr>
          <w:strike/>
        </w:rPr>
        <w:t>(IP)</w:t>
      </w:r>
      <w:r w:rsidR="002714A5" w:rsidRPr="002714A5">
        <w:rPr>
          <w:vertAlign w:val="superscript"/>
        </w:rPr>
        <w:t>2</w:t>
      </w:r>
      <w:r w:rsidR="002714A5">
        <w:t> </w:t>
      </w:r>
      <w:r>
        <w:t xml:space="preserve">Valsts akciju sabiedrībai „Privatizācijas aģentūra” sadarbībā ar Finanšu ministriju līdz 2010.gada 15.jūnijam iesniegt izskatīšanai Ministru kabineta sēdē informāciju par panākto vienošanos ar Eiropas </w:t>
      </w:r>
      <w:r>
        <w:lastRenderedPageBreak/>
        <w:t>Rekonstrukcijas un attīstības banku un līguma grozījumu projektus Akciju pirkuma līgumā un Akcionāru līgumā, kas starp valsts akciju sabiedrību „Privatizācijas aģentūra”, Latvijas Republiku, Eiropas Rekonstrukcijas un attīstības banku un akciju sabiedrību „Parex banka” (jaunajā redakcijā ar grozījumiem) parakstīts 2009.gada 23.jūlijā, kā arī jaunu Akcionāru līguma projektu par Eiropas Rekonstrukcijas un attīstības bankas iesaisti restrukturizācijas rezultātā izveidojamā „Jaunajā bankā”.</w:t>
      </w:r>
    </w:p>
    <w:p w:rsidR="00A11F43" w:rsidRDefault="00A11F43">
      <w:pPr>
        <w:ind w:firstLine="720"/>
        <w:jc w:val="both"/>
      </w:pPr>
    </w:p>
    <w:p w:rsidR="00A11F43" w:rsidRDefault="00A11F43">
      <w:pPr>
        <w:tabs>
          <w:tab w:val="left" w:pos="6804"/>
        </w:tabs>
        <w:ind w:firstLine="709"/>
        <w:jc w:val="both"/>
      </w:pPr>
    </w:p>
    <w:p w:rsidR="00A11F43" w:rsidRDefault="00A11F43">
      <w:pPr>
        <w:pStyle w:val="naisf"/>
        <w:tabs>
          <w:tab w:val="left" w:pos="6840"/>
        </w:tabs>
        <w:spacing w:before="0" w:after="0"/>
        <w:ind w:firstLine="720"/>
        <w:rPr>
          <w:sz w:val="28"/>
          <w:szCs w:val="28"/>
        </w:rPr>
      </w:pPr>
      <w:r>
        <w:rPr>
          <w:sz w:val="28"/>
          <w:szCs w:val="28"/>
        </w:rPr>
        <w:t xml:space="preserve">Ministru prezidents </w:t>
      </w:r>
      <w:r>
        <w:rPr>
          <w:sz w:val="28"/>
          <w:szCs w:val="28"/>
        </w:rPr>
        <w:tab/>
        <w:t>V.Dombrovskis</w:t>
      </w:r>
    </w:p>
    <w:p w:rsidR="00A11F43" w:rsidRDefault="00A11F43">
      <w:pPr>
        <w:pStyle w:val="naisf"/>
        <w:tabs>
          <w:tab w:val="left" w:pos="6840"/>
        </w:tabs>
        <w:spacing w:before="0" w:after="0"/>
        <w:ind w:firstLine="720"/>
        <w:rPr>
          <w:sz w:val="28"/>
          <w:szCs w:val="28"/>
        </w:rPr>
      </w:pPr>
    </w:p>
    <w:p w:rsidR="00A11F43" w:rsidRDefault="00A11F43">
      <w:pPr>
        <w:pStyle w:val="naisf"/>
        <w:tabs>
          <w:tab w:val="left" w:pos="6840"/>
        </w:tabs>
        <w:spacing w:before="0" w:after="0"/>
        <w:ind w:firstLine="720"/>
        <w:rPr>
          <w:sz w:val="28"/>
          <w:szCs w:val="28"/>
        </w:rPr>
      </w:pPr>
      <w:r>
        <w:rPr>
          <w:sz w:val="28"/>
          <w:szCs w:val="28"/>
        </w:rPr>
        <w:t xml:space="preserve">Finanšu ministrs </w:t>
      </w:r>
      <w:r>
        <w:rPr>
          <w:sz w:val="28"/>
          <w:szCs w:val="28"/>
        </w:rPr>
        <w:tab/>
        <w:t>E.Repše</w:t>
      </w:r>
    </w:p>
    <w:p w:rsidR="00A11F43" w:rsidRDefault="00A11F43">
      <w:pPr>
        <w:tabs>
          <w:tab w:val="left" w:pos="6804"/>
        </w:tabs>
        <w:ind w:firstLine="709"/>
        <w:jc w:val="both"/>
      </w:pPr>
      <w:bookmarkStart w:id="0" w:name="_GoBack"/>
      <w:bookmarkEnd w:id="0"/>
    </w:p>
    <w:p w:rsidR="00A11F43" w:rsidRDefault="00A11F43">
      <w:pPr>
        <w:tabs>
          <w:tab w:val="left" w:pos="6804"/>
        </w:tabs>
        <w:ind w:firstLine="709"/>
        <w:jc w:val="both"/>
        <w:rPr>
          <w:lang w:val="de-DE"/>
        </w:rPr>
      </w:pPr>
      <w:r>
        <w:rPr>
          <w:lang w:val="sv-SE"/>
        </w:rPr>
        <w:t>Valsts kan</w:t>
      </w:r>
      <w:r>
        <w:rPr>
          <w:lang w:val="de-DE"/>
        </w:rPr>
        <w:t xml:space="preserve">celejas direktora vietā </w:t>
      </w:r>
      <w:r>
        <w:t>–</w:t>
      </w:r>
    </w:p>
    <w:p w:rsidR="00A11F43" w:rsidRDefault="00A11F43">
      <w:pPr>
        <w:tabs>
          <w:tab w:val="left" w:pos="6804"/>
        </w:tabs>
        <w:ind w:firstLine="709"/>
        <w:jc w:val="both"/>
      </w:pPr>
      <w:r>
        <w:rPr>
          <w:lang w:val="de-DE"/>
        </w:rPr>
        <w:t xml:space="preserve">direktora vietniece tiesību aktu lietās </w:t>
      </w:r>
      <w:r>
        <w:rPr>
          <w:lang w:val="de-DE"/>
        </w:rPr>
        <w:tab/>
        <w:t>E.Dreimane</w:t>
      </w:r>
    </w:p>
    <w:sectPr w:rsidR="00A11F43">
      <w:headerReference w:type="default" r:id="rId8"/>
      <w:footerReference w:type="default" r:id="rId9"/>
      <w:pgSz w:w="11906" w:h="16838" w:code="9"/>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A1C" w:rsidRDefault="009B2A1C">
      <w:r>
        <w:separator/>
      </w:r>
    </w:p>
  </w:endnote>
  <w:endnote w:type="continuationSeparator" w:id="0">
    <w:p w:rsidR="009B2A1C" w:rsidRDefault="009B2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A1C" w:rsidRDefault="009B2A1C">
    <w:pPr>
      <w:pStyle w:val="Footer"/>
      <w:tabs>
        <w:tab w:val="left" w:pos="3686"/>
      </w:tabs>
      <w:jc w:val="right"/>
    </w:pPr>
    <w:r>
      <w:rPr>
        <w:rStyle w:val="PageNumber"/>
        <w:sz w:val="20"/>
      </w:rPr>
      <w:fldChar w:fldCharType="begin"/>
    </w:r>
    <w:r>
      <w:rPr>
        <w:rStyle w:val="PageNumber"/>
        <w:sz w:val="20"/>
      </w:rPr>
      <w:instrText xml:space="preserve"> PAGE </w:instrText>
    </w:r>
    <w:r>
      <w:rPr>
        <w:rStyle w:val="PageNumber"/>
        <w:sz w:val="20"/>
      </w:rPr>
      <w:fldChar w:fldCharType="separate"/>
    </w:r>
    <w:r w:rsidR="00016021">
      <w:rPr>
        <w:rStyle w:val="PageNumber"/>
        <w:noProof/>
        <w:sz w:val="20"/>
      </w:rPr>
      <w:t>2</w:t>
    </w:r>
    <w:r>
      <w:rPr>
        <w:rStyle w:val="PageNumber"/>
        <w:sz w:val="20"/>
      </w:rPr>
      <w:fldChar w:fldCharType="end"/>
    </w:r>
    <w:r>
      <w:rPr>
        <w:rStyle w:val="PageNumber"/>
        <w:sz w:val="20"/>
      </w:rPr>
      <w:t>-</w:t>
    </w:r>
    <w:r>
      <w:rPr>
        <w:rStyle w:val="PageNumber"/>
        <w:sz w:val="20"/>
      </w:rPr>
      <w:fldChar w:fldCharType="begin"/>
    </w:r>
    <w:r>
      <w:rPr>
        <w:rStyle w:val="PageNumber"/>
        <w:sz w:val="20"/>
      </w:rPr>
      <w:instrText xml:space="preserve"> NUMPAGES </w:instrText>
    </w:r>
    <w:r>
      <w:rPr>
        <w:rStyle w:val="PageNumber"/>
        <w:sz w:val="20"/>
      </w:rPr>
      <w:fldChar w:fldCharType="separate"/>
    </w:r>
    <w:r w:rsidR="00016021">
      <w:rPr>
        <w:rStyle w:val="PageNumber"/>
        <w:noProof/>
        <w:sz w:val="20"/>
      </w:rPr>
      <w:t>2</w:t>
    </w:r>
    <w:r>
      <w:rPr>
        <w:rStyle w:val="PageNumber"/>
        <w:sz w:val="20"/>
      </w:rPr>
      <w:fldChar w:fldCharType="end"/>
    </w:r>
  </w:p>
  <w:p w:rsidR="009B2A1C" w:rsidRPr="00C90407" w:rsidRDefault="009B2A1C">
    <w:pPr>
      <w:pStyle w:val="Header"/>
      <w:jc w:val="center"/>
      <w:rPr>
        <w:b/>
        <w:bCs/>
        <w:strike/>
      </w:rPr>
    </w:pPr>
    <w:r w:rsidRPr="00C90407">
      <w:rPr>
        <w:b/>
        <w:bCs/>
        <w:strike/>
      </w:rPr>
      <w:t>DIENESTA VAJADZĪBĀM</w:t>
    </w:r>
  </w:p>
  <w:p w:rsidR="009B2A1C" w:rsidRDefault="009B2A1C" w:rsidP="00C90407">
    <w:pPr>
      <w:pStyle w:val="Header"/>
      <w:jc w:val="center"/>
      <w:rPr>
        <w:rFonts w:ascii="Times New Roman Bold" w:hAnsi="Times New Roman Bold"/>
        <w:b/>
        <w:bCs/>
        <w:strike/>
      </w:rPr>
    </w:pPr>
    <w:r w:rsidRPr="002714A5">
      <w:rPr>
        <w:rFonts w:ascii="Times New Roman Bold" w:hAnsi="Times New Roman Bold"/>
        <w:b/>
        <w:bCs/>
        <w:strike/>
      </w:rPr>
      <w:t>IEROBEŽOTAS PIEEJAMĪBAS INFORMĀCIJA</w:t>
    </w:r>
  </w:p>
  <w:p w:rsidR="005E4A4B" w:rsidRPr="002714A5" w:rsidRDefault="005E4A4B" w:rsidP="005E4A4B">
    <w:pPr>
      <w:jc w:val="center"/>
      <w:rPr>
        <w:rFonts w:ascii="Times New Roman Bold" w:hAnsi="Times New Roman Bold"/>
        <w:b/>
        <w:bCs/>
        <w:strike/>
      </w:rPr>
    </w:pPr>
    <w:r>
      <w:rPr>
        <w:lang w:val="de-DE"/>
      </w:rPr>
      <w:t>Nav klasificēts</w:t>
    </w:r>
  </w:p>
  <w:p w:rsidR="009B2A1C" w:rsidRDefault="009B2A1C">
    <w:pPr>
      <w:pStyle w:val="Footer"/>
      <w:rPr>
        <w:sz w:val="16"/>
      </w:rPr>
    </w:pPr>
  </w:p>
  <w:p w:rsidR="009B2A1C" w:rsidRDefault="009B2A1C">
    <w:pPr>
      <w:pStyle w:val="Footer"/>
      <w:rPr>
        <w:sz w:val="16"/>
        <w:szCs w:val="20"/>
      </w:rPr>
    </w:pPr>
    <w:r>
      <w:rPr>
        <w:sz w:val="16"/>
        <w:szCs w:val="20"/>
      </w:rPr>
      <w:t>Prot_izr_28_58_DV</w:t>
    </w:r>
    <w:r w:rsidR="002714A5">
      <w:rPr>
        <w:sz w:val="16"/>
        <w:szCs w:val="20"/>
      </w:rPr>
      <w:t>_dekl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A1C" w:rsidRDefault="009B2A1C">
      <w:r>
        <w:separator/>
      </w:r>
    </w:p>
  </w:footnote>
  <w:footnote w:type="continuationSeparator" w:id="0">
    <w:p w:rsidR="009B2A1C" w:rsidRDefault="009B2A1C">
      <w:r>
        <w:continuationSeparator/>
      </w:r>
    </w:p>
  </w:footnote>
  <w:footnote w:id="1">
    <w:p w:rsidR="009B2A1C" w:rsidRDefault="009B2A1C">
      <w:pPr>
        <w:pStyle w:val="FootnoteText"/>
      </w:pPr>
      <w:r>
        <w:rPr>
          <w:rStyle w:val="FootnoteReference"/>
        </w:rPr>
        <w:footnoteRef/>
      </w:r>
      <w:r>
        <w:t xml:space="preserve"> </w:t>
      </w:r>
      <w:r w:rsidRPr="009B2A1C">
        <w:t>statuss "DV" mainīts uz "IP" saskaņā ar FM 1</w:t>
      </w:r>
      <w:r>
        <w:t>3.04.2012. vēstuli Nr.17-1-2451</w:t>
      </w:r>
    </w:p>
  </w:footnote>
  <w:footnote w:id="2">
    <w:p w:rsidR="002714A5" w:rsidRDefault="002714A5">
      <w:pPr>
        <w:pStyle w:val="FootnoteText"/>
      </w:pPr>
      <w:r>
        <w:rPr>
          <w:rStyle w:val="FootnoteReference"/>
        </w:rPr>
        <w:footnoteRef/>
      </w:r>
      <w:r>
        <w:t xml:space="preserve"> </w:t>
      </w:r>
      <w:proofErr w:type="spellStart"/>
      <w:r w:rsidRPr="000970C2">
        <w:t>deklasificēts</w:t>
      </w:r>
      <w:proofErr w:type="spellEnd"/>
      <w:r w:rsidRPr="000970C2">
        <w:t xml:space="preserve"> saskaņā ar FM 0</w:t>
      </w:r>
      <w:r>
        <w:t>6</w:t>
      </w:r>
      <w:r w:rsidRPr="000970C2">
        <w:t>.</w:t>
      </w:r>
      <w:r>
        <w:t>07</w:t>
      </w:r>
      <w:r w:rsidRPr="000970C2">
        <w:t>.20</w:t>
      </w:r>
      <w:r>
        <w:t>12</w:t>
      </w:r>
      <w:r w:rsidRPr="000970C2">
        <w:t>. vēstuli Nr.</w:t>
      </w:r>
      <w:r>
        <w:t>17-1-03/4412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A4B" w:rsidRPr="004C491B" w:rsidRDefault="005E4A4B" w:rsidP="005E4A4B">
    <w:pPr>
      <w:jc w:val="center"/>
      <w:rPr>
        <w:b/>
        <w:bCs/>
        <w:caps/>
        <w:strike/>
      </w:rPr>
    </w:pPr>
    <w:r>
      <w:rPr>
        <w:lang w:val="de-DE"/>
      </w:rPr>
      <w:t>Nav klasificēts</w:t>
    </w:r>
  </w:p>
  <w:p w:rsidR="009B2A1C" w:rsidRPr="002714A5" w:rsidRDefault="009B2A1C">
    <w:pPr>
      <w:pStyle w:val="Header"/>
      <w:jc w:val="center"/>
      <w:rPr>
        <w:rFonts w:ascii="Times New Roman Bold" w:hAnsi="Times New Roman Bold"/>
        <w:b/>
        <w:bCs/>
        <w:strike/>
      </w:rPr>
    </w:pPr>
    <w:r w:rsidRPr="002714A5">
      <w:rPr>
        <w:rFonts w:ascii="Times New Roman Bold" w:hAnsi="Times New Roman Bold"/>
        <w:b/>
        <w:bCs/>
        <w:strike/>
      </w:rPr>
      <w:t>IEROBEŽOTAS PIEEJAMĪBAS INFORMĀCIJA</w:t>
    </w:r>
  </w:p>
  <w:p w:rsidR="009B2A1C" w:rsidRPr="00C90407" w:rsidRDefault="009B2A1C">
    <w:pPr>
      <w:pStyle w:val="Header"/>
      <w:jc w:val="center"/>
      <w:rPr>
        <w:b/>
        <w:bCs/>
        <w:strike/>
      </w:rPr>
    </w:pPr>
    <w:r w:rsidRPr="00C90407">
      <w:rPr>
        <w:b/>
        <w:bCs/>
        <w:strike/>
      </w:rPr>
      <w:t>DIENESTA VAJADZĪBĀM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407"/>
    <w:rsid w:val="00016021"/>
    <w:rsid w:val="002714A5"/>
    <w:rsid w:val="0059228C"/>
    <w:rsid w:val="005E4A4B"/>
    <w:rsid w:val="0076492B"/>
    <w:rsid w:val="009B2A1C"/>
    <w:rsid w:val="00A11F43"/>
    <w:rsid w:val="00C37E88"/>
    <w:rsid w:val="00C904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
    <w:name w:val="Rakstz."/>
    <w:basedOn w:val="Normal"/>
    <w:semiHidden/>
    <w:pPr>
      <w:spacing w:after="160" w:line="240" w:lineRule="exact"/>
    </w:pPr>
    <w:rPr>
      <w:rFonts w:ascii="Verdana" w:hAnsi="Verdana"/>
      <w:sz w:val="20"/>
      <w:szCs w:val="20"/>
      <w:lang w:eastAsia="ko-KR" w:bidi="bo-C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emiHidden/>
  </w:style>
  <w:style w:type="paragraph" w:customStyle="1" w:styleId="RakstzCharCharRakstzCharCharRakstz">
    <w:name w:val="Rakstz. Char Char Rakstz. Char Char Rakstz."/>
    <w:basedOn w:val="Normal"/>
    <w:pPr>
      <w:spacing w:after="160" w:line="240" w:lineRule="exact"/>
    </w:pPr>
    <w:rPr>
      <w:rFonts w:ascii="Tahoma" w:hAnsi="Tahoma"/>
      <w:sz w:val="20"/>
      <w:szCs w:val="20"/>
      <w:lang w:val="en-US" w:eastAsia="en-US"/>
    </w:rPr>
  </w:style>
  <w:style w:type="paragraph" w:styleId="BodyText">
    <w:name w:val="Body Text"/>
    <w:basedOn w:val="Normal"/>
    <w:semiHidden/>
    <w:pPr>
      <w:jc w:val="both"/>
    </w:pPr>
    <w:rPr>
      <w:szCs w:val="20"/>
    </w:rPr>
  </w:style>
  <w:style w:type="character" w:styleId="CommentReference">
    <w:name w:val="annotation reference"/>
    <w:semiHidden/>
    <w:rPr>
      <w:sz w:val="16"/>
      <w:szCs w:val="16"/>
    </w:rPr>
  </w:style>
  <w:style w:type="paragraph" w:customStyle="1" w:styleId="naisf">
    <w:name w:val="naisf"/>
    <w:basedOn w:val="Normal"/>
    <w:pPr>
      <w:spacing w:before="63" w:after="63"/>
      <w:ind w:firstLine="313"/>
      <w:jc w:val="both"/>
    </w:pPr>
    <w:rPr>
      <w:sz w:val="24"/>
      <w:szCs w:val="24"/>
    </w:rPr>
  </w:style>
  <w:style w:type="paragraph" w:styleId="Title">
    <w:name w:val="Title"/>
    <w:basedOn w:val="Normal"/>
    <w:qFormat/>
    <w:pPr>
      <w:jc w:val="center"/>
    </w:pPr>
    <w:rPr>
      <w:lang w:eastAsia="ko-KR" w:bidi="bo-CN"/>
    </w:rPr>
  </w:style>
  <w:style w:type="paragraph" w:customStyle="1" w:styleId="RakstzCharCharRakstz">
    <w:name w:val="Rakstz. Char Char Rakstz."/>
    <w:basedOn w:val="Normal"/>
    <w:semiHidden/>
    <w:pPr>
      <w:spacing w:after="160" w:line="240" w:lineRule="exact"/>
    </w:pPr>
    <w:rPr>
      <w:rFonts w:ascii="Verdana" w:hAnsi="Verdana"/>
      <w:sz w:val="20"/>
      <w:szCs w:val="20"/>
      <w:lang w:eastAsia="ko-KR" w:bidi="bo-CN"/>
    </w:rPr>
  </w:style>
  <w:style w:type="paragraph" w:styleId="FootnoteText">
    <w:name w:val="footnote text"/>
    <w:basedOn w:val="Normal"/>
    <w:link w:val="FootnoteTextChar"/>
    <w:uiPriority w:val="99"/>
    <w:semiHidden/>
    <w:unhideWhenUsed/>
    <w:rsid w:val="009B2A1C"/>
    <w:rPr>
      <w:sz w:val="20"/>
      <w:szCs w:val="20"/>
    </w:rPr>
  </w:style>
  <w:style w:type="character" w:customStyle="1" w:styleId="FootnoteTextChar">
    <w:name w:val="Footnote Text Char"/>
    <w:basedOn w:val="DefaultParagraphFont"/>
    <w:link w:val="FootnoteText"/>
    <w:uiPriority w:val="99"/>
    <w:semiHidden/>
    <w:rsid w:val="009B2A1C"/>
  </w:style>
  <w:style w:type="character" w:styleId="FootnoteReference">
    <w:name w:val="footnote reference"/>
    <w:basedOn w:val="DefaultParagraphFont"/>
    <w:uiPriority w:val="99"/>
    <w:semiHidden/>
    <w:unhideWhenUsed/>
    <w:rsid w:val="009B2A1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
    <w:name w:val="Rakstz."/>
    <w:basedOn w:val="Normal"/>
    <w:semiHidden/>
    <w:pPr>
      <w:spacing w:after="160" w:line="240" w:lineRule="exact"/>
    </w:pPr>
    <w:rPr>
      <w:rFonts w:ascii="Verdana" w:hAnsi="Verdana"/>
      <w:sz w:val="20"/>
      <w:szCs w:val="20"/>
      <w:lang w:eastAsia="ko-KR" w:bidi="bo-C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emiHidden/>
  </w:style>
  <w:style w:type="paragraph" w:customStyle="1" w:styleId="RakstzCharCharRakstzCharCharRakstz">
    <w:name w:val="Rakstz. Char Char Rakstz. Char Char Rakstz."/>
    <w:basedOn w:val="Normal"/>
    <w:pPr>
      <w:spacing w:after="160" w:line="240" w:lineRule="exact"/>
    </w:pPr>
    <w:rPr>
      <w:rFonts w:ascii="Tahoma" w:hAnsi="Tahoma"/>
      <w:sz w:val="20"/>
      <w:szCs w:val="20"/>
      <w:lang w:val="en-US" w:eastAsia="en-US"/>
    </w:rPr>
  </w:style>
  <w:style w:type="paragraph" w:styleId="BodyText">
    <w:name w:val="Body Text"/>
    <w:basedOn w:val="Normal"/>
    <w:semiHidden/>
    <w:pPr>
      <w:jc w:val="both"/>
    </w:pPr>
    <w:rPr>
      <w:szCs w:val="20"/>
    </w:rPr>
  </w:style>
  <w:style w:type="character" w:styleId="CommentReference">
    <w:name w:val="annotation reference"/>
    <w:semiHidden/>
    <w:rPr>
      <w:sz w:val="16"/>
      <w:szCs w:val="16"/>
    </w:rPr>
  </w:style>
  <w:style w:type="paragraph" w:customStyle="1" w:styleId="naisf">
    <w:name w:val="naisf"/>
    <w:basedOn w:val="Normal"/>
    <w:pPr>
      <w:spacing w:before="63" w:after="63"/>
      <w:ind w:firstLine="313"/>
      <w:jc w:val="both"/>
    </w:pPr>
    <w:rPr>
      <w:sz w:val="24"/>
      <w:szCs w:val="24"/>
    </w:rPr>
  </w:style>
  <w:style w:type="paragraph" w:styleId="Title">
    <w:name w:val="Title"/>
    <w:basedOn w:val="Normal"/>
    <w:qFormat/>
    <w:pPr>
      <w:jc w:val="center"/>
    </w:pPr>
    <w:rPr>
      <w:lang w:eastAsia="ko-KR" w:bidi="bo-CN"/>
    </w:rPr>
  </w:style>
  <w:style w:type="paragraph" w:customStyle="1" w:styleId="RakstzCharCharRakstz">
    <w:name w:val="Rakstz. Char Char Rakstz."/>
    <w:basedOn w:val="Normal"/>
    <w:semiHidden/>
    <w:pPr>
      <w:spacing w:after="160" w:line="240" w:lineRule="exact"/>
    </w:pPr>
    <w:rPr>
      <w:rFonts w:ascii="Verdana" w:hAnsi="Verdana"/>
      <w:sz w:val="20"/>
      <w:szCs w:val="20"/>
      <w:lang w:eastAsia="ko-KR" w:bidi="bo-CN"/>
    </w:rPr>
  </w:style>
  <w:style w:type="paragraph" w:styleId="FootnoteText">
    <w:name w:val="footnote text"/>
    <w:basedOn w:val="Normal"/>
    <w:link w:val="FootnoteTextChar"/>
    <w:uiPriority w:val="99"/>
    <w:semiHidden/>
    <w:unhideWhenUsed/>
    <w:rsid w:val="009B2A1C"/>
    <w:rPr>
      <w:sz w:val="20"/>
      <w:szCs w:val="20"/>
    </w:rPr>
  </w:style>
  <w:style w:type="character" w:customStyle="1" w:styleId="FootnoteTextChar">
    <w:name w:val="Footnote Text Char"/>
    <w:basedOn w:val="DefaultParagraphFont"/>
    <w:link w:val="FootnoteText"/>
    <w:uiPriority w:val="99"/>
    <w:semiHidden/>
    <w:rsid w:val="009B2A1C"/>
  </w:style>
  <w:style w:type="character" w:styleId="FootnoteReference">
    <w:name w:val="footnote reference"/>
    <w:basedOn w:val="DefaultParagraphFont"/>
    <w:uiPriority w:val="99"/>
    <w:semiHidden/>
    <w:unhideWhenUsed/>
    <w:rsid w:val="009B2A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C69A7-48E5-4821-BDB8-0E1E638B8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1533</Words>
  <Characters>874</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Par Latvijas ekonomiskās stabilizācijas programmu</vt:lpstr>
    </vt:vector>
  </TitlesOfParts>
  <Company>Valsts kanceleja</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Latvijas ekonomiskās stabilizācijas programmu</dc:title>
  <dc:creator>L.Peinberga</dc:creator>
  <cp:lastModifiedBy>Linda Milenberga</cp:lastModifiedBy>
  <cp:revision>6</cp:revision>
  <cp:lastPrinted>2012-08-14T10:13:00Z</cp:lastPrinted>
  <dcterms:created xsi:type="dcterms:W3CDTF">2012-08-10T12:11:00Z</dcterms:created>
  <dcterms:modified xsi:type="dcterms:W3CDTF">2012-08-14T10:13:00Z</dcterms:modified>
</cp:coreProperties>
</file>